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DC87C" w14:textId="57611340" w:rsidR="0068128A" w:rsidRDefault="00587D8D">
      <w:r>
        <w:rPr>
          <w:noProof/>
          <w:sz w:val="25"/>
          <w:szCs w:val="26"/>
        </w:rPr>
        <w:drawing>
          <wp:anchor distT="0" distB="0" distL="114300" distR="114300" simplePos="0" relativeHeight="251657215" behindDoc="0" locked="0" layoutInCell="1" allowOverlap="1" wp14:anchorId="1D2DCF66" wp14:editId="0CDCE7B5">
            <wp:simplePos x="0" y="0"/>
            <wp:positionH relativeFrom="column">
              <wp:posOffset>-901560</wp:posOffset>
            </wp:positionH>
            <wp:positionV relativeFrom="page">
              <wp:posOffset>-23973</wp:posOffset>
            </wp:positionV>
            <wp:extent cx="7575550" cy="10716878"/>
            <wp:effectExtent l="0" t="0" r="6350" b="8890"/>
            <wp:wrapNone/>
            <wp:docPr id="14991039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03909"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7575550" cy="10716878"/>
                    </a:xfrm>
                    <a:prstGeom prst="rect">
                      <a:avLst/>
                    </a:prstGeom>
                  </pic:spPr>
                </pic:pic>
              </a:graphicData>
            </a:graphic>
            <wp14:sizeRelH relativeFrom="margin">
              <wp14:pctWidth>0</wp14:pctWidth>
            </wp14:sizeRelH>
            <wp14:sizeRelV relativeFrom="margin">
              <wp14:pctHeight>0</wp14:pctHeight>
            </wp14:sizeRelV>
          </wp:anchor>
        </w:drawing>
      </w:r>
    </w:p>
    <w:p w14:paraId="5520FF22" w14:textId="39563A1A" w:rsidR="00FD1DD3" w:rsidRDefault="00FD1DD3"/>
    <w:p w14:paraId="6DE89D21" w14:textId="6C3A4C61" w:rsidR="00FD1DD3" w:rsidRDefault="00FD1DD3"/>
    <w:sdt>
      <w:sdtPr>
        <w:id w:val="-1186126927"/>
        <w:docPartObj>
          <w:docPartGallery w:val="Cover Pages"/>
          <w:docPartUnique/>
        </w:docPartObj>
      </w:sdtPr>
      <w:sdtEndPr>
        <w:rPr>
          <w:sz w:val="25"/>
          <w:szCs w:val="26"/>
        </w:rPr>
      </w:sdtEndPr>
      <w:sdtContent>
        <w:p w14:paraId="0FE0FCC4" w14:textId="6CED9D87" w:rsidR="0068128A" w:rsidRDefault="0068128A">
          <w:r>
            <w:rPr>
              <w:noProof/>
              <w:sz w:val="25"/>
              <w:szCs w:val="26"/>
            </w:rPr>
            <w:softHyphen/>
          </w:r>
        </w:p>
        <w:p w14:paraId="454DB5C2" w14:textId="0C671E63" w:rsidR="0068128A" w:rsidRDefault="00865616">
          <w:pPr>
            <w:spacing w:before="0" w:line="259" w:lineRule="auto"/>
            <w:rPr>
              <w:rFonts w:eastAsiaTheme="majorEastAsia" w:cstheme="majorBidi"/>
              <w:b/>
              <w:color w:val="052A4D" w:themeColor="accent1"/>
              <w:sz w:val="25"/>
              <w:szCs w:val="26"/>
            </w:rPr>
          </w:pPr>
          <w:r>
            <w:rPr>
              <w:noProof/>
            </w:rPr>
            <mc:AlternateContent>
              <mc:Choice Requires="wps">
                <w:drawing>
                  <wp:anchor distT="45720" distB="45720" distL="114300" distR="114300" simplePos="0" relativeHeight="251658240" behindDoc="0" locked="0" layoutInCell="1" allowOverlap="1" wp14:anchorId="482ABE52" wp14:editId="6BA7A89C">
                    <wp:simplePos x="0" y="0"/>
                    <wp:positionH relativeFrom="margin">
                      <wp:posOffset>333375</wp:posOffset>
                    </wp:positionH>
                    <wp:positionV relativeFrom="paragraph">
                      <wp:posOffset>31694</wp:posOffset>
                    </wp:positionV>
                    <wp:extent cx="5263515" cy="1404620"/>
                    <wp:effectExtent l="0" t="0" r="0" b="0"/>
                    <wp:wrapSquare wrapText="bothSides"/>
                    <wp:docPr id="955662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3515" cy="1404620"/>
                            </a:xfrm>
                            <a:prstGeom prst="rect">
                              <a:avLst/>
                            </a:prstGeom>
                            <a:noFill/>
                            <a:ln w="9525">
                              <a:noFill/>
                              <a:miter lim="800000"/>
                              <a:headEnd/>
                              <a:tailEnd/>
                            </a:ln>
                          </wps:spPr>
                          <wps:txbx>
                            <w:txbxContent>
                              <w:p w14:paraId="45B56555" w14:textId="77777777" w:rsidR="00865616" w:rsidRDefault="003C7F57" w:rsidP="00A60FAC">
                                <w:pPr>
                                  <w:rPr>
                                    <w:b/>
                                    <w:bCs/>
                                    <w:color w:val="FFFFFF" w:themeColor="background2"/>
                                    <w:sz w:val="72"/>
                                    <w:szCs w:val="72"/>
                                  </w:rPr>
                                </w:pPr>
                                <w:bookmarkStart w:id="0" w:name="_Toc197435970"/>
                                <w:r w:rsidRPr="006A5705">
                                  <w:rPr>
                                    <w:b/>
                                    <w:bCs/>
                                    <w:color w:val="FFFFFF" w:themeColor="background2"/>
                                    <w:sz w:val="72"/>
                                    <w:szCs w:val="72"/>
                                  </w:rPr>
                                  <w:t xml:space="preserve">Risk Financing Strategy </w:t>
                                </w:r>
                              </w:p>
                              <w:p w14:paraId="3E055F3A" w14:textId="5295539C" w:rsidR="00322345" w:rsidRPr="00865616" w:rsidRDefault="003C7F57" w:rsidP="00A60FAC">
                                <w:pPr>
                                  <w:rPr>
                                    <w:b/>
                                    <w:bCs/>
                                    <w:color w:val="FFFFFF" w:themeColor="background2"/>
                                    <w:sz w:val="52"/>
                                    <w:szCs w:val="52"/>
                                  </w:rPr>
                                </w:pPr>
                                <w:r w:rsidRPr="00865616">
                                  <w:rPr>
                                    <w:b/>
                                    <w:bCs/>
                                    <w:color w:val="FFFFFF" w:themeColor="background2"/>
                                    <w:sz w:val="52"/>
                                    <w:szCs w:val="52"/>
                                  </w:rPr>
                                  <w:t>2025-2030</w:t>
                                </w:r>
                                <w:bookmarkEnd w:id="0"/>
                                <w:r w:rsidR="00322345" w:rsidRPr="00865616">
                                  <w:rPr>
                                    <w:b/>
                                    <w:bCs/>
                                    <w:color w:val="FFFFFF" w:themeColor="background2"/>
                                    <w:sz w:val="52"/>
                                    <w:szCs w:val="5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482ABE52" id="_x0000_t202" coordsize="21600,21600" o:spt="202" path="m,l,21600r21600,l21600,xe">
                    <v:stroke joinstyle="miter"/>
                    <v:path gradientshapeok="t" o:connecttype="rect"/>
                  </v:shapetype>
                  <v:shape id="Text Box 2" o:spid="_x0000_s1026" type="#_x0000_t202" style="position:absolute;margin-left:26.25pt;margin-top:2.5pt;width:414.4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" filled="f" stroked="f">
                    <v:textbox style="mso-fit-shape-to-text:t">
                      <w:txbxContent>
                        <w:p w14:paraId="45B56555" w14:textId="77777777" w:rsidR="00865616" w:rsidRDefault="003C7F57" w:rsidP="00A60FAC">
                          <w:pPr>
                            <w:rPr>
                              <w:b/>
                              <w:bCs/>
                              <w:color w:val="FFFFFF" w:themeColor="background2"/>
                              <w:sz w:val="72"/>
                              <w:szCs w:val="72"/>
                            </w:rPr>
                          </w:pPr>
                          <w:bookmarkStart w:id="1" w:name="_Toc197435970"/>
                          <w:r w:rsidRPr="006A5705">
                            <w:rPr>
                              <w:b/>
                              <w:bCs/>
                              <w:color w:val="FFFFFF" w:themeColor="background2"/>
                              <w:sz w:val="72"/>
                              <w:szCs w:val="72"/>
                            </w:rPr>
                            <w:t xml:space="preserve">Risk Financing Strategy </w:t>
                          </w:r>
                        </w:p>
                        <w:p w14:paraId="3E055F3A" w14:textId="5295539C" w:rsidR="00322345" w:rsidRPr="00865616" w:rsidRDefault="003C7F57" w:rsidP="00A60FAC">
                          <w:pPr>
                            <w:rPr>
                              <w:b/>
                              <w:bCs/>
                              <w:color w:val="FFFFFF" w:themeColor="background2"/>
                              <w:sz w:val="52"/>
                              <w:szCs w:val="52"/>
                            </w:rPr>
                          </w:pPr>
                          <w:r w:rsidRPr="00865616">
                            <w:rPr>
                              <w:b/>
                              <w:bCs/>
                              <w:color w:val="FFFFFF" w:themeColor="background2"/>
                              <w:sz w:val="52"/>
                              <w:szCs w:val="52"/>
                            </w:rPr>
                            <w:t>2025-2030</w:t>
                          </w:r>
                          <w:bookmarkEnd w:id="1"/>
                          <w:r w:rsidR="00322345" w:rsidRPr="00865616">
                            <w:rPr>
                              <w:b/>
                              <w:bCs/>
                              <w:color w:val="FFFFFF" w:themeColor="background2"/>
                              <w:sz w:val="52"/>
                              <w:szCs w:val="52"/>
                            </w:rPr>
                            <w:t xml:space="preserve"> </w:t>
                          </w:r>
                        </w:p>
                      </w:txbxContent>
                    </v:textbox>
                    <w10:wrap type="square" anchorx="margin"/>
                  </v:shape>
                </w:pict>
              </mc:Fallback>
            </mc:AlternateContent>
          </w:r>
          <w:r w:rsidR="00322345">
            <w:rPr>
              <w:noProof/>
            </w:rPr>
            <mc:AlternateContent>
              <mc:Choice Requires="wps">
                <w:drawing>
                  <wp:anchor distT="45720" distB="45720" distL="114300" distR="114300" simplePos="0" relativeHeight="251658241" behindDoc="0" locked="0" layoutInCell="1" allowOverlap="1" wp14:anchorId="25AD40E3" wp14:editId="029F1B16">
                    <wp:simplePos x="0" y="0"/>
                    <wp:positionH relativeFrom="margin">
                      <wp:posOffset>328930</wp:posOffset>
                    </wp:positionH>
                    <wp:positionV relativeFrom="paragraph">
                      <wp:posOffset>1754505</wp:posOffset>
                    </wp:positionV>
                    <wp:extent cx="4476750" cy="1404620"/>
                    <wp:effectExtent l="0" t="0" r="0" b="0"/>
                    <wp:wrapSquare wrapText="bothSides"/>
                    <wp:docPr id="1281620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1404620"/>
                            </a:xfrm>
                            <a:prstGeom prst="rect">
                              <a:avLst/>
                            </a:prstGeom>
                            <a:noFill/>
                            <a:ln w="9525">
                              <a:noFill/>
                              <a:miter lim="800000"/>
                              <a:headEnd/>
                              <a:tailEnd/>
                            </a:ln>
                          </wps:spPr>
                          <wps:txbx>
                            <w:txbxContent>
                              <w:sdt>
                                <w:sdtPr>
                                  <w:rPr>
                                    <w:color w:val="FFFFFF" w:themeColor="background1"/>
                                  </w:rPr>
                                  <w:alias w:val="Abstract"/>
                                  <w:tag w:val=""/>
                                  <w:id w:val="2132199612"/>
                                  <w:dataBinding w:prefixMappings="xmlns:ns0='http://schemas.microsoft.com/office/2006/coverPageProps' " w:xpath="/ns0:CoverPageProperties[1]/ns0:Abstract[1]" w:storeItemID="{55AF091B-3C7A-41E3-B477-F2FDAA23CFDA}"/>
                                  <w:text w:multiLine="1"/>
                                </w:sdtPr>
                                <w:sdtContent>
                                  <w:p w14:paraId="19463817" w14:textId="110545BF" w:rsidR="00FD1DD3" w:rsidRDefault="00EC46D4" w:rsidP="00FD1DD3">
                                    <w:pPr>
                                      <w:spacing w:after="120"/>
                                      <w:rPr>
                                        <w:color w:val="FFFFFF" w:themeColor="background1"/>
                                      </w:rPr>
                                    </w:pPr>
                                    <w:r>
                                      <w:rPr>
                                        <w:color w:val="FFFFFF" w:themeColor="background1"/>
                                      </w:rPr>
                                      <w:t>O</w:t>
                                    </w:r>
                                    <w:r w:rsidRPr="00EC46D4">
                                      <w:rPr>
                                        <w:color w:val="FFFFFF" w:themeColor="background1"/>
                                      </w:rPr>
                                      <w:t>ur Risk Financing Strategy sets out how we fund the financial risks of the Natural Hazards Insurance scheme.</w:t>
                                    </w:r>
                                  </w:p>
                                </w:sdtContent>
                              </w:sdt>
                              <w:p w14:paraId="27CCC0F1" w14:textId="77777777" w:rsidR="00FD1DD3" w:rsidRPr="00FD1DD3" w:rsidRDefault="00FD1DD3" w:rsidP="00FD1DD3">
                                <w:pPr>
                                  <w:pStyle w:val="Heading1"/>
                                  <w:spacing w:line="240" w:lineRule="auto"/>
                                  <w:rPr>
                                    <w:color w:val="FFFFFF" w:themeColor="background2"/>
                                    <w:sz w:val="44"/>
                                    <w:szCs w:val="44"/>
                                    <w:lang w:val="en-GB"/>
                                  </w:rPr>
                                </w:pPr>
                              </w:p>
                              <w:p w14:paraId="75129C30" w14:textId="77777777" w:rsidR="00FD1DD3" w:rsidRDefault="00FD1DD3"/>
                              <w:p w14:paraId="65FED7F1" w14:textId="77777777" w:rsidR="00FD1DD3" w:rsidRDefault="00FD1DD3" w:rsidP="00FD1DD3">
                                <w:pPr>
                                  <w:spacing w:after="120"/>
                                  <w:rPr>
                                    <w:color w:val="FFFFFF" w:themeColor="background1"/>
                                  </w:rPr>
                                </w:pPr>
                              </w:p>
                              <w:p w14:paraId="7CAF3826" w14:textId="77777777" w:rsidR="00FD1DD3" w:rsidRPr="00FD1DD3" w:rsidRDefault="00FD1DD3" w:rsidP="00FD1DD3">
                                <w:pPr>
                                  <w:pStyle w:val="Heading1"/>
                                  <w:spacing w:line="240" w:lineRule="auto"/>
                                  <w:rPr>
                                    <w:color w:val="FFFFFF" w:themeColor="background2"/>
                                    <w:sz w:val="44"/>
                                    <w:szCs w:val="44"/>
                                    <w:lang w:val="en-GB"/>
                                  </w:rPr>
                                </w:pPr>
                              </w:p>
                              <w:p w14:paraId="690A16D1" w14:textId="77777777" w:rsidR="00FD1DD3" w:rsidRDefault="00FD1DD3"/>
                              <w:p w14:paraId="35E2784A" w14:textId="77777777" w:rsidR="00FD1DD3" w:rsidRPr="00FD1DD3" w:rsidRDefault="00FD1DD3" w:rsidP="00FD1DD3">
                                <w:pPr>
                                  <w:pStyle w:val="Heading1"/>
                                  <w:spacing w:line="240" w:lineRule="auto"/>
                                  <w:rPr>
                                    <w:color w:val="FFFFFF" w:themeColor="background2"/>
                                    <w:sz w:val="44"/>
                                    <w:szCs w:val="44"/>
                                    <w:lang w:val="en-GB"/>
                                  </w:rPr>
                                </w:pPr>
                              </w:p>
                              <w:p w14:paraId="4C2D6F9F" w14:textId="77777777" w:rsidR="00FD1DD3" w:rsidRDefault="00FD1DD3"/>
                              <w:p w14:paraId="0B648368" w14:textId="22294FE5" w:rsidR="00FD1DD3" w:rsidRDefault="00FD1DD3" w:rsidP="00FD1DD3">
                                <w:pPr>
                                  <w:spacing w:after="120"/>
                                  <w:rPr>
                                    <w:color w:val="FFFFFF" w:themeColor="background1"/>
                                  </w:rPr>
                                </w:pPr>
                              </w:p>
                              <w:p w14:paraId="0B661E77" w14:textId="77777777" w:rsidR="00FD1DD3" w:rsidRPr="00FD1DD3" w:rsidRDefault="00FD1DD3" w:rsidP="00FD1DD3">
                                <w:pPr>
                                  <w:pStyle w:val="Heading1"/>
                                  <w:spacing w:line="240" w:lineRule="auto"/>
                                  <w:rPr>
                                    <w:color w:val="FFFFFF" w:themeColor="background2"/>
                                    <w:sz w:val="44"/>
                                    <w:szCs w:val="44"/>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25AD40E3" id="_x0000_s1027" type="#_x0000_t202" style="position:absolute;margin-left:25.9pt;margin-top:138.15pt;width:352.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" filled="f" stroked="f">
                    <v:textbox style="mso-fit-shape-to-text:t">
                      <w:txbxContent>
                        <w:sdt>
                          <w:sdtPr>
                            <w:rPr>
                              <w:color w:val="FFFFFF" w:themeColor="background1"/>
                            </w:rPr>
                            <w:alias w:val="Abstract"/>
                            <w:tag w:val=""/>
                            <w:id w:val="2132199612"/>
                            <w:dataBinding w:prefixMappings="xmlns:ns0='http://schemas.microsoft.com/office/2006/coverPageProps' " w:xpath="/ns0:CoverPageProperties[1]/ns0:Abstract[1]" w:storeItemID="{55AF091B-3C7A-41E3-B477-F2FDAA23CFDA}"/>
                            <w:text w:multiLine="1"/>
                          </w:sdtPr>
                          <w:sdtContent>
                            <w:p w14:paraId="19463817" w14:textId="110545BF" w:rsidR="00FD1DD3" w:rsidRDefault="00EC46D4" w:rsidP="00FD1DD3">
                              <w:pPr>
                                <w:spacing w:after="120"/>
                                <w:rPr>
                                  <w:color w:val="FFFFFF" w:themeColor="background1"/>
                                </w:rPr>
                              </w:pPr>
                              <w:r>
                                <w:rPr>
                                  <w:color w:val="FFFFFF" w:themeColor="background1"/>
                                </w:rPr>
                                <w:t>O</w:t>
                              </w:r>
                              <w:r w:rsidRPr="00EC46D4">
                                <w:rPr>
                                  <w:color w:val="FFFFFF" w:themeColor="background1"/>
                                </w:rPr>
                                <w:t>ur Risk Financing Strategy sets out how we fund the financial risks of the Natural Hazards Insurance scheme.</w:t>
                              </w:r>
                            </w:p>
                          </w:sdtContent>
                        </w:sdt>
                        <w:p w14:paraId="27CCC0F1" w14:textId="77777777" w:rsidR="00FD1DD3" w:rsidRPr="00FD1DD3" w:rsidRDefault="00FD1DD3" w:rsidP="00FD1DD3">
                          <w:pPr>
                            <w:pStyle w:val="Heading1"/>
                            <w:spacing w:line="240" w:lineRule="auto"/>
                            <w:rPr>
                              <w:color w:val="FFFFFF" w:themeColor="background2"/>
                              <w:sz w:val="44"/>
                              <w:szCs w:val="44"/>
                              <w:lang w:val="en-GB"/>
                            </w:rPr>
                          </w:pPr>
                        </w:p>
                        <w:p w14:paraId="75129C30" w14:textId="77777777" w:rsidR="00FD1DD3" w:rsidRDefault="00FD1DD3"/>
                        <w:p w14:paraId="65FED7F1" w14:textId="77777777" w:rsidR="00FD1DD3" w:rsidRDefault="00FD1DD3" w:rsidP="00FD1DD3">
                          <w:pPr>
                            <w:spacing w:after="120"/>
                            <w:rPr>
                              <w:color w:val="FFFFFF" w:themeColor="background1"/>
                            </w:rPr>
                          </w:pPr>
                        </w:p>
                        <w:p w14:paraId="7CAF3826" w14:textId="77777777" w:rsidR="00FD1DD3" w:rsidRPr="00FD1DD3" w:rsidRDefault="00FD1DD3" w:rsidP="00FD1DD3">
                          <w:pPr>
                            <w:pStyle w:val="Heading1"/>
                            <w:spacing w:line="240" w:lineRule="auto"/>
                            <w:rPr>
                              <w:color w:val="FFFFFF" w:themeColor="background2"/>
                              <w:sz w:val="44"/>
                              <w:szCs w:val="44"/>
                              <w:lang w:val="en-GB"/>
                            </w:rPr>
                          </w:pPr>
                        </w:p>
                        <w:p w14:paraId="690A16D1" w14:textId="77777777" w:rsidR="00FD1DD3" w:rsidRDefault="00FD1DD3"/>
                        <w:p w14:paraId="35E2784A" w14:textId="77777777" w:rsidR="00FD1DD3" w:rsidRPr="00FD1DD3" w:rsidRDefault="00FD1DD3" w:rsidP="00FD1DD3">
                          <w:pPr>
                            <w:pStyle w:val="Heading1"/>
                            <w:spacing w:line="240" w:lineRule="auto"/>
                            <w:rPr>
                              <w:color w:val="FFFFFF" w:themeColor="background2"/>
                              <w:sz w:val="44"/>
                              <w:szCs w:val="44"/>
                              <w:lang w:val="en-GB"/>
                            </w:rPr>
                          </w:pPr>
                        </w:p>
                        <w:p w14:paraId="4C2D6F9F" w14:textId="77777777" w:rsidR="00FD1DD3" w:rsidRDefault="00FD1DD3"/>
                        <w:p w14:paraId="0B648368" w14:textId="22294FE5" w:rsidR="00FD1DD3" w:rsidRDefault="00FD1DD3" w:rsidP="00FD1DD3">
                          <w:pPr>
                            <w:spacing w:after="120"/>
                            <w:rPr>
                              <w:color w:val="FFFFFF" w:themeColor="background1"/>
                            </w:rPr>
                          </w:pPr>
                        </w:p>
                        <w:p w14:paraId="0B661E77" w14:textId="77777777" w:rsidR="00FD1DD3" w:rsidRPr="00FD1DD3" w:rsidRDefault="00FD1DD3" w:rsidP="00FD1DD3">
                          <w:pPr>
                            <w:pStyle w:val="Heading1"/>
                            <w:spacing w:line="240" w:lineRule="auto"/>
                            <w:rPr>
                              <w:color w:val="FFFFFF" w:themeColor="background2"/>
                              <w:sz w:val="44"/>
                              <w:szCs w:val="44"/>
                              <w:lang w:val="en-GB"/>
                            </w:rPr>
                          </w:pPr>
                        </w:p>
                      </w:txbxContent>
                    </v:textbox>
                    <w10:wrap type="square" anchorx="margin"/>
                  </v:shape>
                </w:pict>
              </mc:Fallback>
            </mc:AlternateContent>
          </w:r>
          <w:r w:rsidR="0068128A">
            <w:rPr>
              <w:sz w:val="25"/>
              <w:szCs w:val="26"/>
            </w:rPr>
            <w:br w:type="page"/>
          </w:r>
        </w:p>
      </w:sdtContent>
    </w:sdt>
    <w:p w14:paraId="210DDE09" w14:textId="36741827" w:rsidR="00240ACF" w:rsidRPr="00F056C3" w:rsidRDefault="00240ACF" w:rsidP="00302A0C">
      <w:pPr>
        <w:pStyle w:val="Caption"/>
        <w:keepNext/>
        <w:rPr>
          <w:i w:val="0"/>
        </w:rPr>
      </w:pPr>
      <w:r w:rsidRPr="00F056C3">
        <w:rPr>
          <w:i w:val="0"/>
        </w:rPr>
        <w:lastRenderedPageBreak/>
        <w:t xml:space="preserve">Figure </w:t>
      </w:r>
      <w:r w:rsidR="00BE5FA0">
        <w:rPr>
          <w:i w:val="0"/>
        </w:rPr>
        <w:fldChar w:fldCharType="begin"/>
      </w:r>
      <w:r w:rsidR="00BE5FA0">
        <w:rPr>
          <w:i w:val="0"/>
        </w:rPr>
        <w:instrText xml:space="preserve"> SEQ Figure \* ARABIC </w:instrText>
      </w:r>
      <w:r w:rsidR="00BE5FA0">
        <w:rPr>
          <w:i w:val="0"/>
        </w:rPr>
        <w:fldChar w:fldCharType="separate"/>
      </w:r>
      <w:r w:rsidR="00EA2408">
        <w:rPr>
          <w:i w:val="0"/>
          <w:noProof/>
        </w:rPr>
        <w:t>1</w:t>
      </w:r>
      <w:r w:rsidR="00BE5FA0">
        <w:rPr>
          <w:i w:val="0"/>
        </w:rPr>
        <w:fldChar w:fldCharType="end"/>
      </w:r>
      <w:r w:rsidR="00803F92">
        <w:rPr>
          <w:i w:val="0"/>
        </w:rPr>
        <w:t>:</w:t>
      </w:r>
      <w:r w:rsidRPr="00F056C3">
        <w:rPr>
          <w:i w:val="0"/>
        </w:rPr>
        <w:t xml:space="preserve"> Risk Financing Strategy on a page</w:t>
      </w:r>
    </w:p>
    <w:p w14:paraId="68433DFE" w14:textId="77777777" w:rsidR="007E283F" w:rsidRDefault="00B455B0" w:rsidP="007E283F">
      <w:pPr>
        <w:keepNext/>
      </w:pPr>
      <w:r>
        <w:rPr>
          <w:noProof/>
        </w:rPr>
        <w:drawing>
          <wp:inline distT="0" distB="0" distL="0" distR="0" wp14:anchorId="21E83342" wp14:editId="23AD1C7F">
            <wp:extent cx="5753100" cy="7522234"/>
            <wp:effectExtent l="19050" t="0" r="19050" b="21590"/>
            <wp:docPr id="1689973759"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4C88CF0" w14:textId="22034D20" w:rsidR="00BF0048" w:rsidRDefault="00BF0048">
      <w:pPr>
        <w:spacing w:before="0" w:line="259" w:lineRule="auto"/>
      </w:pPr>
      <w:r>
        <w:br w:type="page"/>
      </w:r>
    </w:p>
    <w:p w14:paraId="008F40BA" w14:textId="2CAF4A72" w:rsidR="006F4B4E" w:rsidRPr="00F66D4C" w:rsidRDefault="006F4B4E">
      <w:pPr>
        <w:pStyle w:val="TOCHeading"/>
        <w:rPr>
          <w:rFonts w:ascii="Source Sans Pro" w:hAnsi="Source Sans Pro"/>
          <w:b/>
          <w:color w:val="052A4D" w:themeColor="accent1"/>
          <w:sz w:val="30"/>
          <w:lang w:eastAsia="en-US" w:bidi="ar-SA"/>
        </w:rPr>
      </w:pPr>
      <w:r w:rsidRPr="00F66D4C">
        <w:rPr>
          <w:rFonts w:ascii="Source Sans Pro" w:hAnsi="Source Sans Pro"/>
          <w:b/>
          <w:color w:val="052A4D" w:themeColor="accent1"/>
          <w:sz w:val="30"/>
          <w:lang w:eastAsia="en-US" w:bidi="ar-SA"/>
        </w:rPr>
        <w:lastRenderedPageBreak/>
        <w:t>Contents</w:t>
      </w:r>
    </w:p>
    <w:p w14:paraId="5583CA67" w14:textId="50FB3B28" w:rsidR="003F537A" w:rsidRDefault="6F0C94D7">
      <w:pPr>
        <w:pStyle w:val="TOC1"/>
        <w:tabs>
          <w:tab w:val="right" w:leader="dot" w:pos="9020"/>
        </w:tabs>
        <w:rPr>
          <w:rFonts w:asciiTheme="minorHAnsi" w:eastAsiaTheme="minorEastAsia" w:hAnsiTheme="minorHAnsi"/>
          <w:noProof/>
          <w:color w:val="auto"/>
          <w:kern w:val="2"/>
          <w:szCs w:val="24"/>
          <w:lang w:eastAsia="en-NZ"/>
          <w14:ligatures w14:val="standardContextual"/>
        </w:rPr>
      </w:pPr>
      <w:r>
        <w:fldChar w:fldCharType="begin"/>
      </w:r>
      <w:r w:rsidR="0D3D04C7">
        <w:instrText>TOC \o "1-5" \z \u \h</w:instrText>
      </w:r>
      <w:r>
        <w:fldChar w:fldCharType="separate"/>
      </w:r>
      <w:hyperlink w:anchor="_Toc231890635" w:history="1">
        <w:r w:rsidR="003F537A" w:rsidRPr="00C62E50">
          <w:rPr>
            <w:rStyle w:val="Hyperlink"/>
            <w:noProof/>
          </w:rPr>
          <w:t>Introduction</w:t>
        </w:r>
        <w:r w:rsidR="003F537A">
          <w:rPr>
            <w:noProof/>
            <w:webHidden/>
          </w:rPr>
          <w:tab/>
        </w:r>
        <w:r w:rsidR="003F537A">
          <w:rPr>
            <w:noProof/>
            <w:webHidden/>
          </w:rPr>
          <w:fldChar w:fldCharType="begin"/>
        </w:r>
        <w:r w:rsidR="003F537A">
          <w:rPr>
            <w:noProof/>
            <w:webHidden/>
          </w:rPr>
          <w:instrText xml:space="preserve"> PAGEREF _Toc231890635 \h </w:instrText>
        </w:r>
        <w:r w:rsidR="003F537A">
          <w:rPr>
            <w:noProof/>
            <w:webHidden/>
          </w:rPr>
        </w:r>
        <w:r w:rsidR="003F537A">
          <w:rPr>
            <w:noProof/>
            <w:webHidden/>
          </w:rPr>
          <w:fldChar w:fldCharType="separate"/>
        </w:r>
        <w:r w:rsidR="003F537A">
          <w:rPr>
            <w:noProof/>
            <w:webHidden/>
          </w:rPr>
          <w:t>4</w:t>
        </w:r>
        <w:r w:rsidR="003F537A">
          <w:rPr>
            <w:noProof/>
            <w:webHidden/>
          </w:rPr>
          <w:fldChar w:fldCharType="end"/>
        </w:r>
      </w:hyperlink>
    </w:p>
    <w:p w14:paraId="3BF8C170" w14:textId="531B8A71"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36" w:history="1">
        <w:r w:rsidRPr="00C62E50">
          <w:rPr>
            <w:rStyle w:val="Hyperlink"/>
            <w:noProof/>
          </w:rPr>
          <w:t>What is risk financing?</w:t>
        </w:r>
        <w:r>
          <w:rPr>
            <w:noProof/>
            <w:webHidden/>
          </w:rPr>
          <w:tab/>
        </w:r>
        <w:r>
          <w:rPr>
            <w:noProof/>
            <w:webHidden/>
          </w:rPr>
          <w:fldChar w:fldCharType="begin"/>
        </w:r>
        <w:r>
          <w:rPr>
            <w:noProof/>
            <w:webHidden/>
          </w:rPr>
          <w:instrText xml:space="preserve"> PAGEREF _Toc231890636 \h </w:instrText>
        </w:r>
        <w:r>
          <w:rPr>
            <w:noProof/>
            <w:webHidden/>
          </w:rPr>
        </w:r>
        <w:r>
          <w:rPr>
            <w:noProof/>
            <w:webHidden/>
          </w:rPr>
          <w:fldChar w:fldCharType="separate"/>
        </w:r>
        <w:r>
          <w:rPr>
            <w:noProof/>
            <w:webHidden/>
          </w:rPr>
          <w:t>4</w:t>
        </w:r>
        <w:r>
          <w:rPr>
            <w:noProof/>
            <w:webHidden/>
          </w:rPr>
          <w:fldChar w:fldCharType="end"/>
        </w:r>
      </w:hyperlink>
    </w:p>
    <w:p w14:paraId="5121AE5E" w14:textId="6AB68F92"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37" w:history="1">
        <w:r w:rsidRPr="00C62E50">
          <w:rPr>
            <w:rStyle w:val="Hyperlink"/>
            <w:noProof/>
          </w:rPr>
          <w:t>Risk financing at the Natural Hazards Commission Toka Tū Ake (NHC Toka Tū Ake)</w:t>
        </w:r>
        <w:r>
          <w:rPr>
            <w:noProof/>
            <w:webHidden/>
          </w:rPr>
          <w:tab/>
        </w:r>
        <w:r>
          <w:rPr>
            <w:noProof/>
            <w:webHidden/>
          </w:rPr>
          <w:fldChar w:fldCharType="begin"/>
        </w:r>
        <w:r>
          <w:rPr>
            <w:noProof/>
            <w:webHidden/>
          </w:rPr>
          <w:instrText xml:space="preserve"> PAGEREF _Toc231890637 \h </w:instrText>
        </w:r>
        <w:r>
          <w:rPr>
            <w:noProof/>
            <w:webHidden/>
          </w:rPr>
        </w:r>
        <w:r>
          <w:rPr>
            <w:noProof/>
            <w:webHidden/>
          </w:rPr>
          <w:fldChar w:fldCharType="separate"/>
        </w:r>
        <w:r>
          <w:rPr>
            <w:noProof/>
            <w:webHidden/>
          </w:rPr>
          <w:t>5</w:t>
        </w:r>
        <w:r>
          <w:rPr>
            <w:noProof/>
            <w:webHidden/>
          </w:rPr>
          <w:fldChar w:fldCharType="end"/>
        </w:r>
      </w:hyperlink>
    </w:p>
    <w:p w14:paraId="142B2D55" w14:textId="61489749"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38" w:history="1">
        <w:r w:rsidRPr="00C62E50">
          <w:rPr>
            <w:rStyle w:val="Hyperlink"/>
            <w:noProof/>
          </w:rPr>
          <w:t>The purpose of this strategy</w:t>
        </w:r>
        <w:r>
          <w:rPr>
            <w:noProof/>
            <w:webHidden/>
          </w:rPr>
          <w:tab/>
        </w:r>
        <w:r>
          <w:rPr>
            <w:noProof/>
            <w:webHidden/>
          </w:rPr>
          <w:fldChar w:fldCharType="begin"/>
        </w:r>
        <w:r>
          <w:rPr>
            <w:noProof/>
            <w:webHidden/>
          </w:rPr>
          <w:instrText xml:space="preserve"> PAGEREF _Toc231890638 \h </w:instrText>
        </w:r>
        <w:r>
          <w:rPr>
            <w:noProof/>
            <w:webHidden/>
          </w:rPr>
        </w:r>
        <w:r>
          <w:rPr>
            <w:noProof/>
            <w:webHidden/>
          </w:rPr>
          <w:fldChar w:fldCharType="separate"/>
        </w:r>
        <w:r>
          <w:rPr>
            <w:noProof/>
            <w:webHidden/>
          </w:rPr>
          <w:t>5</w:t>
        </w:r>
        <w:r>
          <w:rPr>
            <w:noProof/>
            <w:webHidden/>
          </w:rPr>
          <w:fldChar w:fldCharType="end"/>
        </w:r>
      </w:hyperlink>
    </w:p>
    <w:p w14:paraId="5776DFE8" w14:textId="21845A6F" w:rsidR="003F537A" w:rsidRDefault="003F537A">
      <w:pPr>
        <w:pStyle w:val="TOC1"/>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39" w:history="1">
        <w:r w:rsidRPr="00C62E50">
          <w:rPr>
            <w:rStyle w:val="Hyperlink"/>
            <w:noProof/>
          </w:rPr>
          <w:t>Risk financing is an important feature of our legislation</w:t>
        </w:r>
        <w:r>
          <w:rPr>
            <w:noProof/>
            <w:webHidden/>
          </w:rPr>
          <w:tab/>
        </w:r>
        <w:r>
          <w:rPr>
            <w:noProof/>
            <w:webHidden/>
          </w:rPr>
          <w:fldChar w:fldCharType="begin"/>
        </w:r>
        <w:r>
          <w:rPr>
            <w:noProof/>
            <w:webHidden/>
          </w:rPr>
          <w:instrText xml:space="preserve"> PAGEREF _Toc231890639 \h </w:instrText>
        </w:r>
        <w:r>
          <w:rPr>
            <w:noProof/>
            <w:webHidden/>
          </w:rPr>
        </w:r>
        <w:r>
          <w:rPr>
            <w:noProof/>
            <w:webHidden/>
          </w:rPr>
          <w:fldChar w:fldCharType="separate"/>
        </w:r>
        <w:r>
          <w:rPr>
            <w:noProof/>
            <w:webHidden/>
          </w:rPr>
          <w:t>5</w:t>
        </w:r>
        <w:r>
          <w:rPr>
            <w:noProof/>
            <w:webHidden/>
          </w:rPr>
          <w:fldChar w:fldCharType="end"/>
        </w:r>
      </w:hyperlink>
    </w:p>
    <w:p w14:paraId="0678B2CF" w14:textId="010CA443"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40" w:history="1">
        <w:r w:rsidRPr="00C62E50">
          <w:rPr>
            <w:rStyle w:val="Hyperlink"/>
            <w:noProof/>
            <w:lang w:val="en-GB"/>
          </w:rPr>
          <w:t>Consistent with the NHI Act</w:t>
        </w:r>
        <w:r>
          <w:rPr>
            <w:noProof/>
            <w:webHidden/>
          </w:rPr>
          <w:tab/>
        </w:r>
        <w:r>
          <w:rPr>
            <w:noProof/>
            <w:webHidden/>
          </w:rPr>
          <w:fldChar w:fldCharType="begin"/>
        </w:r>
        <w:r>
          <w:rPr>
            <w:noProof/>
            <w:webHidden/>
          </w:rPr>
          <w:instrText xml:space="preserve"> PAGEREF _Toc231890640 \h </w:instrText>
        </w:r>
        <w:r>
          <w:rPr>
            <w:noProof/>
            <w:webHidden/>
          </w:rPr>
        </w:r>
        <w:r>
          <w:rPr>
            <w:noProof/>
            <w:webHidden/>
          </w:rPr>
          <w:fldChar w:fldCharType="separate"/>
        </w:r>
        <w:r>
          <w:rPr>
            <w:noProof/>
            <w:webHidden/>
          </w:rPr>
          <w:t>5</w:t>
        </w:r>
        <w:r>
          <w:rPr>
            <w:noProof/>
            <w:webHidden/>
          </w:rPr>
          <w:fldChar w:fldCharType="end"/>
        </w:r>
      </w:hyperlink>
    </w:p>
    <w:p w14:paraId="5F705569" w14:textId="58B0F740"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41" w:history="1">
        <w:r w:rsidRPr="00C62E50">
          <w:rPr>
            <w:rStyle w:val="Hyperlink"/>
            <w:noProof/>
            <w:lang w:val="en-GB"/>
          </w:rPr>
          <w:t>Consistent with the FRMS and its principles</w:t>
        </w:r>
        <w:r>
          <w:rPr>
            <w:noProof/>
            <w:webHidden/>
          </w:rPr>
          <w:tab/>
        </w:r>
        <w:r>
          <w:rPr>
            <w:noProof/>
            <w:webHidden/>
          </w:rPr>
          <w:fldChar w:fldCharType="begin"/>
        </w:r>
        <w:r>
          <w:rPr>
            <w:noProof/>
            <w:webHidden/>
          </w:rPr>
          <w:instrText xml:space="preserve"> PAGEREF _Toc231890641 \h </w:instrText>
        </w:r>
        <w:r>
          <w:rPr>
            <w:noProof/>
            <w:webHidden/>
          </w:rPr>
        </w:r>
        <w:r>
          <w:rPr>
            <w:noProof/>
            <w:webHidden/>
          </w:rPr>
          <w:fldChar w:fldCharType="separate"/>
        </w:r>
        <w:r>
          <w:rPr>
            <w:noProof/>
            <w:webHidden/>
          </w:rPr>
          <w:t>6</w:t>
        </w:r>
        <w:r>
          <w:rPr>
            <w:noProof/>
            <w:webHidden/>
          </w:rPr>
          <w:fldChar w:fldCharType="end"/>
        </w:r>
      </w:hyperlink>
    </w:p>
    <w:p w14:paraId="73898F68" w14:textId="5AA050A3"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42" w:history="1">
        <w:r w:rsidRPr="00C62E50">
          <w:rPr>
            <w:rStyle w:val="Hyperlink"/>
            <w:noProof/>
          </w:rPr>
          <w:t>FRMS principles</w:t>
        </w:r>
        <w:r>
          <w:rPr>
            <w:noProof/>
            <w:webHidden/>
          </w:rPr>
          <w:tab/>
        </w:r>
        <w:r>
          <w:rPr>
            <w:noProof/>
            <w:webHidden/>
          </w:rPr>
          <w:fldChar w:fldCharType="begin"/>
        </w:r>
        <w:r>
          <w:rPr>
            <w:noProof/>
            <w:webHidden/>
          </w:rPr>
          <w:instrText xml:space="preserve"> PAGEREF _Toc231890642 \h </w:instrText>
        </w:r>
        <w:r>
          <w:rPr>
            <w:noProof/>
            <w:webHidden/>
          </w:rPr>
        </w:r>
        <w:r>
          <w:rPr>
            <w:noProof/>
            <w:webHidden/>
          </w:rPr>
          <w:fldChar w:fldCharType="separate"/>
        </w:r>
        <w:r>
          <w:rPr>
            <w:noProof/>
            <w:webHidden/>
          </w:rPr>
          <w:t>6</w:t>
        </w:r>
        <w:r>
          <w:rPr>
            <w:noProof/>
            <w:webHidden/>
          </w:rPr>
          <w:fldChar w:fldCharType="end"/>
        </w:r>
      </w:hyperlink>
    </w:p>
    <w:p w14:paraId="7F4F890E" w14:textId="3440582E" w:rsidR="003F537A" w:rsidRDefault="003F537A">
      <w:pPr>
        <w:pStyle w:val="TOC1"/>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43" w:history="1">
        <w:r w:rsidRPr="00C62E50">
          <w:rPr>
            <w:rStyle w:val="Hyperlink"/>
            <w:noProof/>
          </w:rPr>
          <w:t>Our strategic framework</w:t>
        </w:r>
        <w:r>
          <w:rPr>
            <w:noProof/>
            <w:webHidden/>
          </w:rPr>
          <w:tab/>
        </w:r>
        <w:r>
          <w:rPr>
            <w:noProof/>
            <w:webHidden/>
          </w:rPr>
          <w:fldChar w:fldCharType="begin"/>
        </w:r>
        <w:r>
          <w:rPr>
            <w:noProof/>
            <w:webHidden/>
          </w:rPr>
          <w:instrText xml:space="preserve"> PAGEREF _Toc231890643 \h </w:instrText>
        </w:r>
        <w:r>
          <w:rPr>
            <w:noProof/>
            <w:webHidden/>
          </w:rPr>
        </w:r>
        <w:r>
          <w:rPr>
            <w:noProof/>
            <w:webHidden/>
          </w:rPr>
          <w:fldChar w:fldCharType="separate"/>
        </w:r>
        <w:r>
          <w:rPr>
            <w:noProof/>
            <w:webHidden/>
          </w:rPr>
          <w:t>6</w:t>
        </w:r>
        <w:r>
          <w:rPr>
            <w:noProof/>
            <w:webHidden/>
          </w:rPr>
          <w:fldChar w:fldCharType="end"/>
        </w:r>
      </w:hyperlink>
    </w:p>
    <w:p w14:paraId="2949DD17" w14:textId="0D52C42B"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44" w:history="1">
        <w:r w:rsidRPr="00C62E50">
          <w:rPr>
            <w:rStyle w:val="Hyperlink"/>
            <w:noProof/>
            <w:lang w:val="en-GB" w:eastAsia="en-GB" w:bidi="en-GB"/>
          </w:rPr>
          <w:t>Our vision and priorities</w:t>
        </w:r>
        <w:r>
          <w:rPr>
            <w:noProof/>
            <w:webHidden/>
          </w:rPr>
          <w:tab/>
        </w:r>
        <w:r>
          <w:rPr>
            <w:noProof/>
            <w:webHidden/>
          </w:rPr>
          <w:fldChar w:fldCharType="begin"/>
        </w:r>
        <w:r>
          <w:rPr>
            <w:noProof/>
            <w:webHidden/>
          </w:rPr>
          <w:instrText xml:space="preserve"> PAGEREF _Toc231890644 \h </w:instrText>
        </w:r>
        <w:r>
          <w:rPr>
            <w:noProof/>
            <w:webHidden/>
          </w:rPr>
        </w:r>
        <w:r>
          <w:rPr>
            <w:noProof/>
            <w:webHidden/>
          </w:rPr>
          <w:fldChar w:fldCharType="separate"/>
        </w:r>
        <w:r>
          <w:rPr>
            <w:noProof/>
            <w:webHidden/>
          </w:rPr>
          <w:t>7</w:t>
        </w:r>
        <w:r>
          <w:rPr>
            <w:noProof/>
            <w:webHidden/>
          </w:rPr>
          <w:fldChar w:fldCharType="end"/>
        </w:r>
      </w:hyperlink>
    </w:p>
    <w:p w14:paraId="11B390B4" w14:textId="152A4625"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45" w:history="1">
        <w:r w:rsidRPr="00C62E50">
          <w:rPr>
            <w:rStyle w:val="Hyperlink"/>
            <w:noProof/>
            <w:lang w:val="en-GB" w:eastAsia="en-GB" w:bidi="en-GB"/>
          </w:rPr>
          <w:t>Risk financing strategic priority, goal and outcome</w:t>
        </w:r>
        <w:r>
          <w:rPr>
            <w:noProof/>
            <w:webHidden/>
          </w:rPr>
          <w:tab/>
        </w:r>
        <w:r>
          <w:rPr>
            <w:noProof/>
            <w:webHidden/>
          </w:rPr>
          <w:fldChar w:fldCharType="begin"/>
        </w:r>
        <w:r>
          <w:rPr>
            <w:noProof/>
            <w:webHidden/>
          </w:rPr>
          <w:instrText xml:space="preserve"> PAGEREF _Toc231890645 \h </w:instrText>
        </w:r>
        <w:r>
          <w:rPr>
            <w:noProof/>
            <w:webHidden/>
          </w:rPr>
        </w:r>
        <w:r>
          <w:rPr>
            <w:noProof/>
            <w:webHidden/>
          </w:rPr>
          <w:fldChar w:fldCharType="separate"/>
        </w:r>
        <w:r>
          <w:rPr>
            <w:noProof/>
            <w:webHidden/>
          </w:rPr>
          <w:t>8</w:t>
        </w:r>
        <w:r>
          <w:rPr>
            <w:noProof/>
            <w:webHidden/>
          </w:rPr>
          <w:fldChar w:fldCharType="end"/>
        </w:r>
      </w:hyperlink>
    </w:p>
    <w:p w14:paraId="30C2F899" w14:textId="35AC907B" w:rsidR="003F537A" w:rsidRDefault="003F537A">
      <w:pPr>
        <w:pStyle w:val="TOC1"/>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46" w:history="1">
        <w:r w:rsidRPr="00C62E50">
          <w:rPr>
            <w:rStyle w:val="Hyperlink"/>
            <w:noProof/>
          </w:rPr>
          <w:t>Our current position, challenges and opportunities</w:t>
        </w:r>
        <w:r>
          <w:rPr>
            <w:noProof/>
            <w:webHidden/>
          </w:rPr>
          <w:tab/>
        </w:r>
        <w:r>
          <w:rPr>
            <w:noProof/>
            <w:webHidden/>
          </w:rPr>
          <w:fldChar w:fldCharType="begin"/>
        </w:r>
        <w:r>
          <w:rPr>
            <w:noProof/>
            <w:webHidden/>
          </w:rPr>
          <w:instrText xml:space="preserve"> PAGEREF _Toc231890646 \h </w:instrText>
        </w:r>
        <w:r>
          <w:rPr>
            <w:noProof/>
            <w:webHidden/>
          </w:rPr>
        </w:r>
        <w:r>
          <w:rPr>
            <w:noProof/>
            <w:webHidden/>
          </w:rPr>
          <w:fldChar w:fldCharType="separate"/>
        </w:r>
        <w:r>
          <w:rPr>
            <w:noProof/>
            <w:webHidden/>
          </w:rPr>
          <w:t>9</w:t>
        </w:r>
        <w:r>
          <w:rPr>
            <w:noProof/>
            <w:webHidden/>
          </w:rPr>
          <w:fldChar w:fldCharType="end"/>
        </w:r>
      </w:hyperlink>
    </w:p>
    <w:p w14:paraId="42C7C9B1" w14:textId="1474046F"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47" w:history="1">
        <w:r w:rsidRPr="00C62E50">
          <w:rPr>
            <w:rStyle w:val="Hyperlink"/>
            <w:noProof/>
          </w:rPr>
          <w:t>Our current position</w:t>
        </w:r>
        <w:r>
          <w:rPr>
            <w:noProof/>
            <w:webHidden/>
          </w:rPr>
          <w:tab/>
        </w:r>
        <w:r>
          <w:rPr>
            <w:noProof/>
            <w:webHidden/>
          </w:rPr>
          <w:fldChar w:fldCharType="begin"/>
        </w:r>
        <w:r>
          <w:rPr>
            <w:noProof/>
            <w:webHidden/>
          </w:rPr>
          <w:instrText xml:space="preserve"> PAGEREF _Toc231890647 \h </w:instrText>
        </w:r>
        <w:r>
          <w:rPr>
            <w:noProof/>
            <w:webHidden/>
          </w:rPr>
        </w:r>
        <w:r>
          <w:rPr>
            <w:noProof/>
            <w:webHidden/>
          </w:rPr>
          <w:fldChar w:fldCharType="separate"/>
        </w:r>
        <w:r>
          <w:rPr>
            <w:noProof/>
            <w:webHidden/>
          </w:rPr>
          <w:t>9</w:t>
        </w:r>
        <w:r>
          <w:rPr>
            <w:noProof/>
            <w:webHidden/>
          </w:rPr>
          <w:fldChar w:fldCharType="end"/>
        </w:r>
      </w:hyperlink>
    </w:p>
    <w:p w14:paraId="0591696A" w14:textId="01B32CB1" w:rsidR="003F537A" w:rsidRPr="001D68DA" w:rsidRDefault="003F537A">
      <w:pPr>
        <w:pStyle w:val="TOC3"/>
        <w:rPr>
          <w:rFonts w:cstheme="minorBidi"/>
          <w:kern w:val="2"/>
          <w:sz w:val="24"/>
          <w:szCs w:val="24"/>
          <w:lang w:eastAsia="en-NZ" w:bidi="ar-SA"/>
          <w14:ligatures w14:val="standardContextual"/>
        </w:rPr>
      </w:pPr>
      <w:hyperlink w:anchor="_Toc231890648" w:history="1">
        <w:r w:rsidRPr="001D68DA">
          <w:rPr>
            <w:rStyle w:val="Hyperlink"/>
          </w:rPr>
          <w:t>Strong stakeholder relationships</w:t>
        </w:r>
        <w:r w:rsidRPr="001D68DA">
          <w:rPr>
            <w:webHidden/>
          </w:rPr>
          <w:tab/>
        </w:r>
        <w:r w:rsidRPr="001D68DA">
          <w:rPr>
            <w:webHidden/>
          </w:rPr>
          <w:fldChar w:fldCharType="begin"/>
        </w:r>
        <w:r w:rsidRPr="001D68DA">
          <w:rPr>
            <w:webHidden/>
          </w:rPr>
          <w:instrText xml:space="preserve"> PAGEREF _Toc231890648 \h </w:instrText>
        </w:r>
        <w:r w:rsidRPr="001D68DA">
          <w:rPr>
            <w:webHidden/>
          </w:rPr>
        </w:r>
        <w:r w:rsidRPr="001D68DA">
          <w:rPr>
            <w:webHidden/>
          </w:rPr>
          <w:fldChar w:fldCharType="separate"/>
        </w:r>
        <w:r w:rsidRPr="001D68DA">
          <w:rPr>
            <w:webHidden/>
          </w:rPr>
          <w:t>11</w:t>
        </w:r>
        <w:r w:rsidRPr="001D68DA">
          <w:rPr>
            <w:webHidden/>
          </w:rPr>
          <w:fldChar w:fldCharType="end"/>
        </w:r>
      </w:hyperlink>
    </w:p>
    <w:p w14:paraId="3685C061" w14:textId="3BBC4876"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49" w:history="1">
        <w:r w:rsidRPr="00C62E50">
          <w:rPr>
            <w:rStyle w:val="Hyperlink"/>
            <w:noProof/>
          </w:rPr>
          <w:t>Opportunities we can benefit from</w:t>
        </w:r>
        <w:r>
          <w:rPr>
            <w:noProof/>
            <w:webHidden/>
          </w:rPr>
          <w:tab/>
        </w:r>
        <w:r>
          <w:rPr>
            <w:noProof/>
            <w:webHidden/>
          </w:rPr>
          <w:fldChar w:fldCharType="begin"/>
        </w:r>
        <w:r>
          <w:rPr>
            <w:noProof/>
            <w:webHidden/>
          </w:rPr>
          <w:instrText xml:space="preserve"> PAGEREF _Toc231890649 \h </w:instrText>
        </w:r>
        <w:r>
          <w:rPr>
            <w:noProof/>
            <w:webHidden/>
          </w:rPr>
        </w:r>
        <w:r>
          <w:rPr>
            <w:noProof/>
            <w:webHidden/>
          </w:rPr>
          <w:fldChar w:fldCharType="separate"/>
        </w:r>
        <w:r>
          <w:rPr>
            <w:noProof/>
            <w:webHidden/>
          </w:rPr>
          <w:t>12</w:t>
        </w:r>
        <w:r>
          <w:rPr>
            <w:noProof/>
            <w:webHidden/>
          </w:rPr>
          <w:fldChar w:fldCharType="end"/>
        </w:r>
      </w:hyperlink>
    </w:p>
    <w:p w14:paraId="44321DE8" w14:textId="1A7AC350" w:rsidR="003F537A" w:rsidRDefault="003F537A">
      <w:pPr>
        <w:pStyle w:val="TOC3"/>
        <w:rPr>
          <w:rFonts w:cstheme="minorBidi"/>
          <w:kern w:val="2"/>
          <w:sz w:val="24"/>
          <w:szCs w:val="24"/>
          <w:lang w:eastAsia="en-NZ" w:bidi="ar-SA"/>
          <w14:ligatures w14:val="standardContextual"/>
        </w:rPr>
      </w:pPr>
      <w:hyperlink w:anchor="_Toc231890650" w:history="1">
        <w:r w:rsidRPr="00C62E50">
          <w:rPr>
            <w:rStyle w:val="Hyperlink"/>
          </w:rPr>
          <w:t>Investment of the Natural Hazard Fund</w:t>
        </w:r>
        <w:r>
          <w:rPr>
            <w:webHidden/>
          </w:rPr>
          <w:tab/>
        </w:r>
        <w:r>
          <w:rPr>
            <w:webHidden/>
          </w:rPr>
          <w:fldChar w:fldCharType="begin"/>
        </w:r>
        <w:r>
          <w:rPr>
            <w:webHidden/>
          </w:rPr>
          <w:instrText xml:space="preserve"> PAGEREF _Toc231890650 \h </w:instrText>
        </w:r>
        <w:r>
          <w:rPr>
            <w:webHidden/>
          </w:rPr>
        </w:r>
        <w:r>
          <w:rPr>
            <w:webHidden/>
          </w:rPr>
          <w:fldChar w:fldCharType="separate"/>
        </w:r>
        <w:r>
          <w:rPr>
            <w:webHidden/>
          </w:rPr>
          <w:t>12</w:t>
        </w:r>
        <w:r>
          <w:rPr>
            <w:webHidden/>
          </w:rPr>
          <w:fldChar w:fldCharType="end"/>
        </w:r>
      </w:hyperlink>
    </w:p>
    <w:p w14:paraId="51B230DC" w14:textId="07570204" w:rsidR="003F537A" w:rsidRDefault="003F537A">
      <w:pPr>
        <w:pStyle w:val="TOC2"/>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51" w:history="1">
        <w:r w:rsidRPr="00C62E50">
          <w:rPr>
            <w:rStyle w:val="Hyperlink"/>
            <w:noProof/>
          </w:rPr>
          <w:t>The challenges that we face</w:t>
        </w:r>
        <w:r>
          <w:rPr>
            <w:noProof/>
            <w:webHidden/>
          </w:rPr>
          <w:tab/>
        </w:r>
        <w:r>
          <w:rPr>
            <w:noProof/>
            <w:webHidden/>
          </w:rPr>
          <w:fldChar w:fldCharType="begin"/>
        </w:r>
        <w:r>
          <w:rPr>
            <w:noProof/>
            <w:webHidden/>
          </w:rPr>
          <w:instrText xml:space="preserve"> PAGEREF _Toc231890651 \h </w:instrText>
        </w:r>
        <w:r>
          <w:rPr>
            <w:noProof/>
            <w:webHidden/>
          </w:rPr>
        </w:r>
        <w:r>
          <w:rPr>
            <w:noProof/>
            <w:webHidden/>
          </w:rPr>
          <w:fldChar w:fldCharType="separate"/>
        </w:r>
        <w:r>
          <w:rPr>
            <w:noProof/>
            <w:webHidden/>
          </w:rPr>
          <w:t>12</w:t>
        </w:r>
        <w:r>
          <w:rPr>
            <w:noProof/>
            <w:webHidden/>
          </w:rPr>
          <w:fldChar w:fldCharType="end"/>
        </w:r>
      </w:hyperlink>
    </w:p>
    <w:p w14:paraId="3C09511F" w14:textId="644BBED3" w:rsidR="003F537A" w:rsidRPr="00645914" w:rsidRDefault="003F537A">
      <w:pPr>
        <w:pStyle w:val="TOC3"/>
        <w:rPr>
          <w:rStyle w:val="Hyperlink"/>
        </w:rPr>
      </w:pPr>
      <w:hyperlink w:anchor="_Toc231890652" w:history="1">
        <w:r w:rsidRPr="00C62E50">
          <w:rPr>
            <w:rStyle w:val="Hyperlink"/>
          </w:rPr>
          <w:t>Uncertainties about natural hazards</w:t>
        </w:r>
        <w:r w:rsidRPr="00645914">
          <w:rPr>
            <w:rStyle w:val="Hyperlink"/>
            <w:webHidden/>
          </w:rPr>
          <w:tab/>
        </w:r>
        <w:r w:rsidRPr="00645914">
          <w:rPr>
            <w:rStyle w:val="Hyperlink"/>
            <w:webHidden/>
          </w:rPr>
          <w:fldChar w:fldCharType="begin"/>
        </w:r>
        <w:r w:rsidRPr="00645914">
          <w:rPr>
            <w:rStyle w:val="Hyperlink"/>
            <w:webHidden/>
          </w:rPr>
          <w:instrText xml:space="preserve"> PAGEREF _Toc231890652 \h </w:instrText>
        </w:r>
        <w:r w:rsidRPr="00645914">
          <w:rPr>
            <w:rStyle w:val="Hyperlink"/>
            <w:webHidden/>
          </w:rPr>
        </w:r>
        <w:r w:rsidRPr="00645914">
          <w:rPr>
            <w:rStyle w:val="Hyperlink"/>
            <w:webHidden/>
          </w:rPr>
          <w:fldChar w:fldCharType="separate"/>
        </w:r>
        <w:r w:rsidRPr="00645914">
          <w:rPr>
            <w:rStyle w:val="Hyperlink"/>
            <w:webHidden/>
          </w:rPr>
          <w:t>12</w:t>
        </w:r>
        <w:r w:rsidRPr="00645914">
          <w:rPr>
            <w:rStyle w:val="Hyperlink"/>
            <w:webHidden/>
          </w:rPr>
          <w:fldChar w:fldCharType="end"/>
        </w:r>
      </w:hyperlink>
    </w:p>
    <w:p w14:paraId="4C79ED00" w14:textId="01D82DCF" w:rsidR="003F537A" w:rsidRPr="00645914" w:rsidRDefault="003F537A">
      <w:pPr>
        <w:pStyle w:val="TOC3"/>
        <w:rPr>
          <w:rStyle w:val="Hyperlink"/>
        </w:rPr>
      </w:pPr>
      <w:hyperlink w:anchor="_Toc231890653" w:history="1">
        <w:r w:rsidRPr="00C62E50">
          <w:rPr>
            <w:rStyle w:val="Hyperlink"/>
          </w:rPr>
          <w:t>Capability, maturity and resourcing</w:t>
        </w:r>
        <w:r w:rsidRPr="00645914">
          <w:rPr>
            <w:rStyle w:val="Hyperlink"/>
            <w:webHidden/>
          </w:rPr>
          <w:tab/>
        </w:r>
        <w:r w:rsidRPr="00645914">
          <w:rPr>
            <w:rStyle w:val="Hyperlink"/>
            <w:webHidden/>
          </w:rPr>
          <w:fldChar w:fldCharType="begin"/>
        </w:r>
        <w:r w:rsidRPr="00645914">
          <w:rPr>
            <w:rStyle w:val="Hyperlink"/>
            <w:webHidden/>
          </w:rPr>
          <w:instrText xml:space="preserve"> PAGEREF _Toc231890653 \h </w:instrText>
        </w:r>
        <w:r w:rsidRPr="00645914">
          <w:rPr>
            <w:rStyle w:val="Hyperlink"/>
            <w:webHidden/>
          </w:rPr>
        </w:r>
        <w:r w:rsidRPr="00645914">
          <w:rPr>
            <w:rStyle w:val="Hyperlink"/>
            <w:webHidden/>
          </w:rPr>
          <w:fldChar w:fldCharType="separate"/>
        </w:r>
        <w:r w:rsidRPr="00645914">
          <w:rPr>
            <w:rStyle w:val="Hyperlink"/>
            <w:webHidden/>
          </w:rPr>
          <w:t>12</w:t>
        </w:r>
        <w:r w:rsidRPr="00645914">
          <w:rPr>
            <w:rStyle w:val="Hyperlink"/>
            <w:webHidden/>
          </w:rPr>
          <w:fldChar w:fldCharType="end"/>
        </w:r>
      </w:hyperlink>
    </w:p>
    <w:p w14:paraId="7C85F190" w14:textId="18245651" w:rsidR="003F537A" w:rsidRPr="00645914" w:rsidRDefault="003F537A">
      <w:pPr>
        <w:pStyle w:val="TOC3"/>
        <w:rPr>
          <w:rStyle w:val="Hyperlink"/>
        </w:rPr>
      </w:pPr>
      <w:hyperlink w:anchor="_Toc231890654" w:history="1">
        <w:r w:rsidRPr="00C62E50">
          <w:rPr>
            <w:rStyle w:val="Hyperlink"/>
          </w:rPr>
          <w:t>Reliance on reinsurance capital as the main source of risk finance</w:t>
        </w:r>
        <w:r w:rsidRPr="00645914">
          <w:rPr>
            <w:rStyle w:val="Hyperlink"/>
            <w:webHidden/>
          </w:rPr>
          <w:tab/>
        </w:r>
        <w:r w:rsidRPr="00645914">
          <w:rPr>
            <w:rStyle w:val="Hyperlink"/>
            <w:webHidden/>
          </w:rPr>
          <w:fldChar w:fldCharType="begin"/>
        </w:r>
        <w:r w:rsidRPr="00645914">
          <w:rPr>
            <w:rStyle w:val="Hyperlink"/>
            <w:webHidden/>
          </w:rPr>
          <w:instrText xml:space="preserve"> PAGEREF _Toc231890654 \h </w:instrText>
        </w:r>
        <w:r w:rsidRPr="00645914">
          <w:rPr>
            <w:rStyle w:val="Hyperlink"/>
            <w:webHidden/>
          </w:rPr>
        </w:r>
        <w:r w:rsidRPr="00645914">
          <w:rPr>
            <w:rStyle w:val="Hyperlink"/>
            <w:webHidden/>
          </w:rPr>
          <w:fldChar w:fldCharType="separate"/>
        </w:r>
        <w:r w:rsidRPr="00645914">
          <w:rPr>
            <w:rStyle w:val="Hyperlink"/>
            <w:webHidden/>
          </w:rPr>
          <w:t>13</w:t>
        </w:r>
        <w:r w:rsidRPr="00645914">
          <w:rPr>
            <w:rStyle w:val="Hyperlink"/>
            <w:webHidden/>
          </w:rPr>
          <w:fldChar w:fldCharType="end"/>
        </w:r>
      </w:hyperlink>
    </w:p>
    <w:p w14:paraId="399115FA" w14:textId="14D39588" w:rsidR="003F537A" w:rsidRPr="00645914" w:rsidRDefault="003F537A">
      <w:pPr>
        <w:pStyle w:val="TOC3"/>
        <w:rPr>
          <w:rStyle w:val="Hyperlink"/>
        </w:rPr>
      </w:pPr>
      <w:hyperlink w:anchor="_Toc231890655" w:history="1">
        <w:r w:rsidRPr="00C62E50">
          <w:rPr>
            <w:rStyle w:val="Hyperlink"/>
          </w:rPr>
          <w:t>Climate change</w:t>
        </w:r>
        <w:r w:rsidRPr="00645914">
          <w:rPr>
            <w:rStyle w:val="Hyperlink"/>
            <w:webHidden/>
          </w:rPr>
          <w:tab/>
        </w:r>
        <w:r w:rsidRPr="00645914">
          <w:rPr>
            <w:rStyle w:val="Hyperlink"/>
            <w:webHidden/>
          </w:rPr>
          <w:fldChar w:fldCharType="begin"/>
        </w:r>
        <w:r w:rsidRPr="00645914">
          <w:rPr>
            <w:rStyle w:val="Hyperlink"/>
            <w:webHidden/>
          </w:rPr>
          <w:instrText xml:space="preserve"> PAGEREF _Toc231890655 \h </w:instrText>
        </w:r>
        <w:r w:rsidRPr="00645914">
          <w:rPr>
            <w:rStyle w:val="Hyperlink"/>
            <w:webHidden/>
          </w:rPr>
        </w:r>
        <w:r w:rsidRPr="00645914">
          <w:rPr>
            <w:rStyle w:val="Hyperlink"/>
            <w:webHidden/>
          </w:rPr>
          <w:fldChar w:fldCharType="separate"/>
        </w:r>
        <w:r w:rsidRPr="00645914">
          <w:rPr>
            <w:rStyle w:val="Hyperlink"/>
            <w:webHidden/>
          </w:rPr>
          <w:t>13</w:t>
        </w:r>
        <w:r w:rsidRPr="00645914">
          <w:rPr>
            <w:rStyle w:val="Hyperlink"/>
            <w:webHidden/>
          </w:rPr>
          <w:fldChar w:fldCharType="end"/>
        </w:r>
      </w:hyperlink>
    </w:p>
    <w:p w14:paraId="0E04EA9F" w14:textId="1CBE6913" w:rsidR="003F537A" w:rsidRPr="00645914" w:rsidRDefault="003F537A">
      <w:pPr>
        <w:pStyle w:val="TOC3"/>
        <w:rPr>
          <w:rStyle w:val="Hyperlink"/>
        </w:rPr>
      </w:pPr>
      <w:hyperlink w:anchor="_Toc231890656" w:history="1">
        <w:r w:rsidRPr="00C62E50">
          <w:rPr>
            <w:rStyle w:val="Hyperlink"/>
          </w:rPr>
          <w:t xml:space="preserve">Increasing residential insurance costs and </w:t>
        </w:r>
        <w:r w:rsidRPr="00645914">
          <w:rPr>
            <w:rStyle w:val="Hyperlink"/>
          </w:rPr>
          <w:t>possible implications for</w:t>
        </w:r>
        <w:r w:rsidRPr="00C62E50">
          <w:rPr>
            <w:rStyle w:val="Hyperlink"/>
          </w:rPr>
          <w:t xml:space="preserve"> insurance penetration</w:t>
        </w:r>
        <w:r w:rsidRPr="00645914">
          <w:rPr>
            <w:rStyle w:val="Hyperlink"/>
            <w:webHidden/>
          </w:rPr>
          <w:tab/>
        </w:r>
        <w:r w:rsidRPr="00645914">
          <w:rPr>
            <w:rStyle w:val="Hyperlink"/>
            <w:webHidden/>
          </w:rPr>
          <w:fldChar w:fldCharType="begin"/>
        </w:r>
        <w:r w:rsidRPr="00645914">
          <w:rPr>
            <w:rStyle w:val="Hyperlink"/>
            <w:webHidden/>
          </w:rPr>
          <w:instrText xml:space="preserve"> PAGEREF _Toc231890656 \h </w:instrText>
        </w:r>
        <w:r w:rsidRPr="00645914">
          <w:rPr>
            <w:rStyle w:val="Hyperlink"/>
            <w:webHidden/>
          </w:rPr>
        </w:r>
        <w:r w:rsidRPr="00645914">
          <w:rPr>
            <w:rStyle w:val="Hyperlink"/>
            <w:webHidden/>
          </w:rPr>
          <w:fldChar w:fldCharType="separate"/>
        </w:r>
        <w:r w:rsidRPr="00645914">
          <w:rPr>
            <w:rStyle w:val="Hyperlink"/>
            <w:webHidden/>
          </w:rPr>
          <w:t>14</w:t>
        </w:r>
        <w:r w:rsidRPr="00645914">
          <w:rPr>
            <w:rStyle w:val="Hyperlink"/>
            <w:webHidden/>
          </w:rPr>
          <w:fldChar w:fldCharType="end"/>
        </w:r>
      </w:hyperlink>
    </w:p>
    <w:p w14:paraId="6DA97E38" w14:textId="3A9D0744" w:rsidR="003F537A" w:rsidRDefault="003F537A">
      <w:pPr>
        <w:pStyle w:val="TOC1"/>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57" w:history="1">
        <w:r w:rsidRPr="00C62E50">
          <w:rPr>
            <w:rStyle w:val="Hyperlink"/>
            <w:noProof/>
          </w:rPr>
          <w:t>Our risk financing strategy</w:t>
        </w:r>
        <w:r>
          <w:rPr>
            <w:noProof/>
            <w:webHidden/>
          </w:rPr>
          <w:tab/>
        </w:r>
        <w:r>
          <w:rPr>
            <w:noProof/>
            <w:webHidden/>
          </w:rPr>
          <w:fldChar w:fldCharType="begin"/>
        </w:r>
        <w:r>
          <w:rPr>
            <w:noProof/>
            <w:webHidden/>
          </w:rPr>
          <w:instrText xml:space="preserve"> PAGEREF _Toc231890657 \h </w:instrText>
        </w:r>
        <w:r>
          <w:rPr>
            <w:noProof/>
            <w:webHidden/>
          </w:rPr>
        </w:r>
        <w:r>
          <w:rPr>
            <w:noProof/>
            <w:webHidden/>
          </w:rPr>
          <w:fldChar w:fldCharType="separate"/>
        </w:r>
        <w:r>
          <w:rPr>
            <w:noProof/>
            <w:webHidden/>
          </w:rPr>
          <w:t>14</w:t>
        </w:r>
        <w:r>
          <w:rPr>
            <w:noProof/>
            <w:webHidden/>
          </w:rPr>
          <w:fldChar w:fldCharType="end"/>
        </w:r>
      </w:hyperlink>
    </w:p>
    <w:p w14:paraId="1A5C2DD8" w14:textId="074A0B83" w:rsidR="003F537A" w:rsidRDefault="003F537A">
      <w:pPr>
        <w:pStyle w:val="TOC1"/>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58" w:history="1">
        <w:r w:rsidRPr="00C62E50">
          <w:rPr>
            <w:rStyle w:val="Hyperlink"/>
            <w:noProof/>
          </w:rPr>
          <w:t>Risk financing objectives and outcomes</w:t>
        </w:r>
        <w:r>
          <w:rPr>
            <w:noProof/>
            <w:webHidden/>
          </w:rPr>
          <w:tab/>
        </w:r>
        <w:r>
          <w:rPr>
            <w:noProof/>
            <w:webHidden/>
          </w:rPr>
          <w:fldChar w:fldCharType="begin"/>
        </w:r>
        <w:r>
          <w:rPr>
            <w:noProof/>
            <w:webHidden/>
          </w:rPr>
          <w:instrText xml:space="preserve"> PAGEREF _Toc231890658 \h </w:instrText>
        </w:r>
        <w:r>
          <w:rPr>
            <w:noProof/>
            <w:webHidden/>
          </w:rPr>
        </w:r>
        <w:r>
          <w:rPr>
            <w:noProof/>
            <w:webHidden/>
          </w:rPr>
          <w:fldChar w:fldCharType="separate"/>
        </w:r>
        <w:r>
          <w:rPr>
            <w:noProof/>
            <w:webHidden/>
          </w:rPr>
          <w:t>16</w:t>
        </w:r>
        <w:r>
          <w:rPr>
            <w:noProof/>
            <w:webHidden/>
          </w:rPr>
          <w:fldChar w:fldCharType="end"/>
        </w:r>
      </w:hyperlink>
    </w:p>
    <w:p w14:paraId="5D5788EA" w14:textId="5BADB656" w:rsidR="003F537A" w:rsidRDefault="003F537A">
      <w:pPr>
        <w:pStyle w:val="TOC1"/>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59" w:history="1">
        <w:r w:rsidRPr="00C62E50">
          <w:rPr>
            <w:rStyle w:val="Hyperlink"/>
            <w:noProof/>
          </w:rPr>
          <w:t>Sequencing of delivery over five years covering 2025-2030</w:t>
        </w:r>
        <w:r>
          <w:rPr>
            <w:noProof/>
            <w:webHidden/>
          </w:rPr>
          <w:tab/>
        </w:r>
        <w:r>
          <w:rPr>
            <w:noProof/>
            <w:webHidden/>
          </w:rPr>
          <w:fldChar w:fldCharType="begin"/>
        </w:r>
        <w:r>
          <w:rPr>
            <w:noProof/>
            <w:webHidden/>
          </w:rPr>
          <w:instrText xml:space="preserve"> PAGEREF _Toc231890659 \h </w:instrText>
        </w:r>
        <w:r>
          <w:rPr>
            <w:noProof/>
            <w:webHidden/>
          </w:rPr>
        </w:r>
        <w:r>
          <w:rPr>
            <w:noProof/>
            <w:webHidden/>
          </w:rPr>
          <w:fldChar w:fldCharType="separate"/>
        </w:r>
        <w:r>
          <w:rPr>
            <w:noProof/>
            <w:webHidden/>
          </w:rPr>
          <w:t>17</w:t>
        </w:r>
        <w:r>
          <w:rPr>
            <w:noProof/>
            <w:webHidden/>
          </w:rPr>
          <w:fldChar w:fldCharType="end"/>
        </w:r>
      </w:hyperlink>
    </w:p>
    <w:p w14:paraId="022C63DC" w14:textId="4CAF09FA" w:rsidR="003F537A" w:rsidRDefault="003F537A">
      <w:pPr>
        <w:pStyle w:val="TOC1"/>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60" w:history="1">
        <w:r w:rsidRPr="00C62E50">
          <w:rPr>
            <w:rStyle w:val="Hyperlink"/>
            <w:noProof/>
          </w:rPr>
          <w:t>Risk financing requires specific expertise</w:t>
        </w:r>
        <w:r>
          <w:rPr>
            <w:noProof/>
            <w:webHidden/>
          </w:rPr>
          <w:tab/>
        </w:r>
        <w:r>
          <w:rPr>
            <w:noProof/>
            <w:webHidden/>
          </w:rPr>
          <w:fldChar w:fldCharType="begin"/>
        </w:r>
        <w:r>
          <w:rPr>
            <w:noProof/>
            <w:webHidden/>
          </w:rPr>
          <w:instrText xml:space="preserve"> PAGEREF _Toc231890660 \h </w:instrText>
        </w:r>
        <w:r>
          <w:rPr>
            <w:noProof/>
            <w:webHidden/>
          </w:rPr>
        </w:r>
        <w:r>
          <w:rPr>
            <w:noProof/>
            <w:webHidden/>
          </w:rPr>
          <w:fldChar w:fldCharType="separate"/>
        </w:r>
        <w:r>
          <w:rPr>
            <w:noProof/>
            <w:webHidden/>
          </w:rPr>
          <w:t>18</w:t>
        </w:r>
        <w:r>
          <w:rPr>
            <w:noProof/>
            <w:webHidden/>
          </w:rPr>
          <w:fldChar w:fldCharType="end"/>
        </w:r>
      </w:hyperlink>
    </w:p>
    <w:p w14:paraId="7BFFA325" w14:textId="1D09876B" w:rsidR="003F537A" w:rsidRDefault="003F537A">
      <w:pPr>
        <w:pStyle w:val="TOC1"/>
        <w:tabs>
          <w:tab w:val="right" w:leader="dot" w:pos="9020"/>
        </w:tabs>
        <w:rPr>
          <w:rFonts w:asciiTheme="minorHAnsi" w:eastAsiaTheme="minorEastAsia" w:hAnsiTheme="minorHAnsi"/>
          <w:noProof/>
          <w:color w:val="auto"/>
          <w:kern w:val="2"/>
          <w:szCs w:val="24"/>
          <w:lang w:eastAsia="en-NZ"/>
          <w14:ligatures w14:val="standardContextual"/>
        </w:rPr>
      </w:pPr>
      <w:hyperlink w:anchor="_Toc231890661" w:history="1">
        <w:r w:rsidRPr="00784D04">
          <w:rPr>
            <w:rStyle w:val="Hyperlink"/>
            <w:noProof/>
          </w:rPr>
          <w:t>Maintaining consistency and monitoring progress to ensure success</w:t>
        </w:r>
        <w:r w:rsidRPr="00850834">
          <w:rPr>
            <w:noProof/>
            <w:webHidden/>
          </w:rPr>
          <w:tab/>
        </w:r>
        <w:r w:rsidRPr="00850834">
          <w:rPr>
            <w:noProof/>
            <w:webHidden/>
          </w:rPr>
          <w:fldChar w:fldCharType="begin"/>
        </w:r>
        <w:r w:rsidRPr="00850834">
          <w:rPr>
            <w:noProof/>
            <w:webHidden/>
          </w:rPr>
          <w:instrText xml:space="preserve"> PAGEREF _Toc231890661 \h </w:instrText>
        </w:r>
        <w:r w:rsidRPr="00850834">
          <w:rPr>
            <w:noProof/>
            <w:webHidden/>
          </w:rPr>
        </w:r>
        <w:r w:rsidRPr="00850834">
          <w:rPr>
            <w:noProof/>
            <w:webHidden/>
          </w:rPr>
          <w:fldChar w:fldCharType="separate"/>
        </w:r>
        <w:r w:rsidRPr="00850834">
          <w:rPr>
            <w:noProof/>
            <w:webHidden/>
          </w:rPr>
          <w:t>19</w:t>
        </w:r>
        <w:r w:rsidRPr="00850834">
          <w:rPr>
            <w:noProof/>
            <w:webHidden/>
          </w:rPr>
          <w:fldChar w:fldCharType="end"/>
        </w:r>
      </w:hyperlink>
    </w:p>
    <w:p w14:paraId="429BB590" w14:textId="50AC7C10" w:rsidR="006B1A5D" w:rsidRDefault="6F0C94D7" w:rsidP="7C2910F1">
      <w:pPr>
        <w:pStyle w:val="TOC1"/>
        <w:tabs>
          <w:tab w:val="right" w:leader="dot" w:pos="9015"/>
        </w:tabs>
        <w:rPr>
          <w:rStyle w:val="Hyperlink"/>
          <w:noProof/>
          <w:kern w:val="2"/>
          <w:lang w:eastAsia="zh-CN" w:bidi="th-TH"/>
          <w14:ligatures w14:val="standardContextual"/>
        </w:rPr>
      </w:pPr>
      <w:r>
        <w:fldChar w:fldCharType="end"/>
      </w:r>
    </w:p>
    <w:p w14:paraId="12B2C39D" w14:textId="6A9121F6" w:rsidR="006F4B4E" w:rsidRDefault="006F4B4E"/>
    <w:p w14:paraId="0475FFD2" w14:textId="6AD9CB18" w:rsidR="00E26FB7" w:rsidRPr="00B07399" w:rsidRDefault="00D06518" w:rsidP="008B0C4C">
      <w:pPr>
        <w:pStyle w:val="Heading1"/>
      </w:pPr>
      <w:bookmarkStart w:id="1" w:name="_Toc197435972"/>
      <w:bookmarkStart w:id="2" w:name="_Toc199337431"/>
      <w:bookmarkStart w:id="3" w:name="_Toc231890635"/>
      <w:r>
        <w:lastRenderedPageBreak/>
        <w:t>Introduction</w:t>
      </w:r>
      <w:bookmarkEnd w:id="1"/>
      <w:bookmarkEnd w:id="2"/>
      <w:bookmarkEnd w:id="3"/>
    </w:p>
    <w:p w14:paraId="4D6D9650" w14:textId="27C48A4B" w:rsidR="002473CB" w:rsidRPr="00D4575D" w:rsidRDefault="00BA4214" w:rsidP="00CC2F66">
      <w:pPr>
        <w:pStyle w:val="Heading2"/>
      </w:pPr>
      <w:bookmarkStart w:id="4" w:name="_Toc199337432"/>
      <w:bookmarkStart w:id="5" w:name="_Toc231890636"/>
      <w:r>
        <w:t xml:space="preserve">What is </w:t>
      </w:r>
      <w:r w:rsidR="00D11867">
        <w:t>r</w:t>
      </w:r>
      <w:r w:rsidR="00D06518" w:rsidRPr="00D4575D">
        <w:t>isk financing</w:t>
      </w:r>
      <w:r>
        <w:t>?</w:t>
      </w:r>
      <w:bookmarkEnd w:id="4"/>
      <w:bookmarkEnd w:id="5"/>
    </w:p>
    <w:p w14:paraId="1B840044" w14:textId="66582C14" w:rsidR="00441F70" w:rsidRDefault="188CC932" w:rsidP="00624CE8">
      <w:r>
        <w:t>Risk financing is</w:t>
      </w:r>
      <w:r w:rsidR="00602373">
        <w:t xml:space="preserve"> </w:t>
      </w:r>
      <w:r w:rsidR="00624CE8">
        <w:t>the</w:t>
      </w:r>
      <w:r w:rsidR="00460C7F" w:rsidRPr="00460C7F">
        <w:t xml:space="preserve"> process of determining how an organisation will pay for potential loss events in the most cost-effective and sustainable way. It involves</w:t>
      </w:r>
      <w:r w:rsidR="00460C7F" w:rsidRPr="00460C7F" w:rsidDel="00B971B9">
        <w:t xml:space="preserve"> </w:t>
      </w:r>
      <w:r w:rsidR="00B971B9" w:rsidRPr="00460C7F">
        <w:t>identif</w:t>
      </w:r>
      <w:r w:rsidR="00B971B9">
        <w:t>ying</w:t>
      </w:r>
      <w:r w:rsidR="00B971B9" w:rsidRPr="00460C7F">
        <w:t xml:space="preserve"> </w:t>
      </w:r>
      <w:r w:rsidR="00460C7F" w:rsidRPr="00460C7F">
        <w:t xml:space="preserve">and </w:t>
      </w:r>
      <w:r w:rsidR="00B971B9" w:rsidRPr="00460C7F">
        <w:t>mitigati</w:t>
      </w:r>
      <w:r w:rsidR="00B971B9">
        <w:t>ng</w:t>
      </w:r>
      <w:r w:rsidR="00B971B9" w:rsidRPr="00460C7F">
        <w:t xml:space="preserve"> </w:t>
      </w:r>
      <w:r w:rsidR="00460C7F" w:rsidRPr="00460C7F">
        <w:t>risk, and the selecti</w:t>
      </w:r>
      <w:r w:rsidR="006E3C01">
        <w:t>ng</w:t>
      </w:r>
      <w:r w:rsidR="00460C7F" w:rsidRPr="00460C7F">
        <w:t xml:space="preserve"> financial mechanisms, such as self-insurance, </w:t>
      </w:r>
      <w:r w:rsidR="00A527DC">
        <w:t>investment</w:t>
      </w:r>
      <w:r w:rsidR="004820BC">
        <w:t xml:space="preserve"> and </w:t>
      </w:r>
      <w:r w:rsidR="00E03313">
        <w:t xml:space="preserve">financial </w:t>
      </w:r>
      <w:r w:rsidR="004820BC">
        <w:t xml:space="preserve">risk transfer such as </w:t>
      </w:r>
      <w:r w:rsidR="00460C7F" w:rsidRPr="00460C7F">
        <w:t xml:space="preserve">reinsurance or alternative risk transfer schemes. </w:t>
      </w:r>
    </w:p>
    <w:p w14:paraId="109B4D5F" w14:textId="755C4296" w:rsidR="00624CE8" w:rsidRPr="00460C7F" w:rsidRDefault="00460C7F" w:rsidP="00624CE8">
      <w:r w:rsidRPr="00460C7F">
        <w:t xml:space="preserve">The objective of risk financing is to choose the least costly options, but ensure that </w:t>
      </w:r>
      <w:r w:rsidR="00B85B2B">
        <w:t>after</w:t>
      </w:r>
      <w:r w:rsidR="00B85B2B" w:rsidRPr="00460C7F">
        <w:t xml:space="preserve"> </w:t>
      </w:r>
      <w:r w:rsidRPr="00460C7F">
        <w:t>a loss event, the organisation has the financial resources available to continue its objectives.</w:t>
      </w:r>
      <w:r w:rsidR="00624CE8">
        <w:t xml:space="preserve"> </w:t>
      </w:r>
    </w:p>
    <w:p w14:paraId="2B0FD535" w14:textId="2F813540" w:rsidR="002473CB" w:rsidRPr="002473CB" w:rsidRDefault="002473CB" w:rsidP="00CC2F66">
      <w:pPr>
        <w:pStyle w:val="Heading2"/>
      </w:pPr>
      <w:bookmarkStart w:id="6" w:name="_Toc231890637"/>
      <w:bookmarkStart w:id="7" w:name="_Toc199337433"/>
      <w:r w:rsidRPr="002473CB">
        <w:t xml:space="preserve">Risk </w:t>
      </w:r>
      <w:r w:rsidR="00D11867">
        <w:t>f</w:t>
      </w:r>
      <w:r w:rsidRPr="002473CB">
        <w:t xml:space="preserve">inancing </w:t>
      </w:r>
      <w:r w:rsidR="00E33591">
        <w:t>at</w:t>
      </w:r>
      <w:r w:rsidRPr="002473CB">
        <w:t xml:space="preserve"> </w:t>
      </w:r>
      <w:r w:rsidR="00C00CC0">
        <w:t xml:space="preserve">the </w:t>
      </w:r>
      <w:r w:rsidR="00EE235A">
        <w:t>N</w:t>
      </w:r>
      <w:r w:rsidR="00C00CC0">
        <w:t xml:space="preserve">atural </w:t>
      </w:r>
      <w:r w:rsidR="00EE235A">
        <w:t>H</w:t>
      </w:r>
      <w:r w:rsidR="00C00CC0">
        <w:t xml:space="preserve">azards </w:t>
      </w:r>
      <w:r w:rsidR="00EE235A">
        <w:t>C</w:t>
      </w:r>
      <w:r w:rsidR="00C00CC0">
        <w:t>ommission</w:t>
      </w:r>
      <w:r w:rsidR="00EE235A">
        <w:t xml:space="preserve"> </w:t>
      </w:r>
      <w:r w:rsidRPr="002473CB">
        <w:t>Toka Tū Ake</w:t>
      </w:r>
      <w:r w:rsidR="000E2EB2">
        <w:t xml:space="preserve"> (NHC Toka Tū Ake)</w:t>
      </w:r>
      <w:bookmarkEnd w:id="6"/>
      <w:r w:rsidR="00C00CC0">
        <w:t xml:space="preserve"> </w:t>
      </w:r>
      <w:bookmarkEnd w:id="7"/>
    </w:p>
    <w:p w14:paraId="57FD3B45" w14:textId="6CB2D72F" w:rsidR="00F0721C" w:rsidRDefault="000E2EB2" w:rsidP="005B7973">
      <w:r>
        <w:t>We undertake</w:t>
      </w:r>
      <w:r w:rsidR="00F0721C" w:rsidRPr="00F0721C">
        <w:t xml:space="preserve"> risk financing to understand and mitigate financial risks, ensuring </w:t>
      </w:r>
      <w:r>
        <w:t xml:space="preserve">we </w:t>
      </w:r>
      <w:r w:rsidR="00F0721C" w:rsidRPr="00F0721C">
        <w:t xml:space="preserve">can meet </w:t>
      </w:r>
      <w:r>
        <w:t>our</w:t>
      </w:r>
      <w:r w:rsidR="00F0721C" w:rsidRPr="00F0721C">
        <w:t xml:space="preserve"> financial obligations when a natural hazard occurs, while also providing protection for both the Natural Hazards Insurance scheme</w:t>
      </w:r>
      <w:r w:rsidR="004B0965">
        <w:t xml:space="preserve"> (NHI scheme)</w:t>
      </w:r>
      <w:r w:rsidR="00F0721C" w:rsidRPr="00F0721C">
        <w:t xml:space="preserve"> and the broader Crown balance sheet.</w:t>
      </w:r>
    </w:p>
    <w:p w14:paraId="0BC72C8D" w14:textId="77777777" w:rsidR="00854132" w:rsidRDefault="00854132" w:rsidP="00854132">
      <w:r>
        <w:t xml:space="preserve">New Zealand has a high-level of natural hazard risk, so the NHI scheme is exposed to a range of financial risks, ranging from more frequent, lower-cost events to infrequent, high-cost events. </w:t>
      </w:r>
    </w:p>
    <w:p w14:paraId="49E5B114" w14:textId="220B7FE1" w:rsidR="00854132" w:rsidRDefault="00854132" w:rsidP="005B7973">
      <w:r>
        <w:t xml:space="preserve">The NHI scheme </w:t>
      </w:r>
      <w:r w:rsidRPr="001C4C02">
        <w:t>underpins</w:t>
      </w:r>
      <w:r w:rsidRPr="004622BB">
        <w:t xml:space="preserve"> the </w:t>
      </w:r>
      <w:r w:rsidRPr="001C4C02">
        <w:t>New Zealand</w:t>
      </w:r>
      <w:r w:rsidRPr="004622BB">
        <w:t xml:space="preserve"> insurance market for</w:t>
      </w:r>
      <w:r w:rsidRPr="001C4C02">
        <w:t xml:space="preserve"> natural hazard risk</w:t>
      </w:r>
      <w:r>
        <w:t>.</w:t>
      </w:r>
      <w:r w:rsidRPr="004622BB">
        <w:t xml:space="preserve"> It also provides</w:t>
      </w:r>
      <w:r>
        <w:t xml:space="preserve"> </w:t>
      </w:r>
      <w:r w:rsidRPr="004622BB">
        <w:t>homeowners and the Government with an</w:t>
      </w:r>
      <w:r>
        <w:t xml:space="preserve"> </w:t>
      </w:r>
      <w:r w:rsidRPr="004622BB">
        <w:t>accessible, sustainable way to help manage</w:t>
      </w:r>
      <w:r>
        <w:t xml:space="preserve"> </w:t>
      </w:r>
      <w:r w:rsidRPr="004622BB">
        <w:t>the financial impacts of the natural hazard</w:t>
      </w:r>
      <w:r>
        <w:t xml:space="preserve"> </w:t>
      </w:r>
      <w:r w:rsidRPr="004622BB">
        <w:t>risks we face in New Zealand.</w:t>
      </w:r>
    </w:p>
    <w:p w14:paraId="454C4EF4" w14:textId="6B1E742B" w:rsidR="00F96144" w:rsidRDefault="006631C6" w:rsidP="004622BB">
      <w:r>
        <w:t xml:space="preserve">The estimated value of New Zealand’s residential property </w:t>
      </w:r>
      <w:r w:rsidR="00C11C3B">
        <w:t>portfolio is over $870 billion</w:t>
      </w:r>
      <w:r w:rsidR="006D10A5">
        <w:t xml:space="preserve"> </w:t>
      </w:r>
      <w:r w:rsidR="002E53C4">
        <w:t>for buildings alone</w:t>
      </w:r>
      <w:r w:rsidR="00204044">
        <w:t>,</w:t>
      </w:r>
      <w:r w:rsidR="002E53C4">
        <w:t xml:space="preserve"> and a further $940 billion in residential land</w:t>
      </w:r>
      <w:r w:rsidR="00C11C3B">
        <w:t>.</w:t>
      </w:r>
      <w:r w:rsidR="00CD65BF">
        <w:rPr>
          <w:rStyle w:val="FootnoteReference"/>
        </w:rPr>
        <w:footnoteReference w:id="2"/>
      </w:r>
      <w:r w:rsidR="00C11C3B">
        <w:t xml:space="preserve"> </w:t>
      </w:r>
      <w:r w:rsidR="001910D9">
        <w:t>Th</w:t>
      </w:r>
      <w:r w:rsidR="00E70236">
        <w:t xml:space="preserve">rough the </w:t>
      </w:r>
      <w:r w:rsidR="002838A9">
        <w:t>$300,000 building cap, the</w:t>
      </w:r>
      <w:r w:rsidR="00432D0F">
        <w:t xml:space="preserve"> </w:t>
      </w:r>
      <w:r w:rsidR="005406A3">
        <w:t xml:space="preserve">NHI </w:t>
      </w:r>
      <w:r w:rsidR="000574ED">
        <w:t>s</w:t>
      </w:r>
      <w:r w:rsidR="00B3436D">
        <w:t>cheme</w:t>
      </w:r>
      <w:r w:rsidR="001910D9">
        <w:t xml:space="preserve"> covers approximately $</w:t>
      </w:r>
      <w:r w:rsidR="00C96DC6">
        <w:t>550</w:t>
      </w:r>
      <w:r w:rsidR="004F368F">
        <w:t xml:space="preserve"> </w:t>
      </w:r>
      <w:r w:rsidR="001910D9">
        <w:t xml:space="preserve">billion of </w:t>
      </w:r>
      <w:r w:rsidR="002C23F3">
        <w:t xml:space="preserve">the building </w:t>
      </w:r>
      <w:r w:rsidR="001910D9">
        <w:t xml:space="preserve">risk </w:t>
      </w:r>
      <w:r w:rsidR="00192CE9">
        <w:t>f</w:t>
      </w:r>
      <w:r w:rsidR="00A730A2">
        <w:t xml:space="preserve">or residential </w:t>
      </w:r>
      <w:r w:rsidR="008844B7">
        <w:t xml:space="preserve">buildings </w:t>
      </w:r>
      <w:r w:rsidR="00192CE9">
        <w:t xml:space="preserve">and </w:t>
      </w:r>
      <w:r w:rsidR="0000183C">
        <w:t>a</w:t>
      </w:r>
      <w:r w:rsidR="003369C9">
        <w:t xml:space="preserve"> further unmodelled amount for </w:t>
      </w:r>
      <w:r w:rsidR="00660552">
        <w:t>residential land</w:t>
      </w:r>
      <w:r w:rsidR="00BD3E15">
        <w:t>.</w:t>
      </w:r>
      <w:r w:rsidR="00F14D4F">
        <w:t xml:space="preserve"> </w:t>
      </w:r>
    </w:p>
    <w:p w14:paraId="0E3EC1BD" w14:textId="7965A834" w:rsidR="009F6EEF" w:rsidRPr="00B07399" w:rsidRDefault="005361A5" w:rsidP="009F6EEF">
      <w:pPr>
        <w:pStyle w:val="Heading2"/>
      </w:pPr>
      <w:bookmarkStart w:id="8" w:name="_Toc197435973"/>
      <w:bookmarkStart w:id="9" w:name="_Toc199337434"/>
      <w:bookmarkStart w:id="10" w:name="_Toc231890638"/>
      <w:r>
        <w:t>The p</w:t>
      </w:r>
      <w:r w:rsidR="009F6EEF">
        <w:t>urpose of this strategy</w:t>
      </w:r>
      <w:bookmarkEnd w:id="8"/>
      <w:bookmarkEnd w:id="9"/>
      <w:bookmarkEnd w:id="10"/>
    </w:p>
    <w:p w14:paraId="1A6269A1" w14:textId="7804A555" w:rsidR="00EF0469" w:rsidRDefault="00182E62" w:rsidP="00EF0469">
      <w:pPr>
        <w:keepLines/>
        <w:spacing w:after="0"/>
      </w:pPr>
      <w:r>
        <w:t xml:space="preserve">The </w:t>
      </w:r>
      <w:r w:rsidR="0009119D">
        <w:t>R</w:t>
      </w:r>
      <w:r>
        <w:t xml:space="preserve">isk </w:t>
      </w:r>
      <w:r w:rsidR="0009119D">
        <w:t>F</w:t>
      </w:r>
      <w:r>
        <w:t xml:space="preserve">inancing </w:t>
      </w:r>
      <w:r w:rsidR="0009119D">
        <w:t>S</w:t>
      </w:r>
      <w:r>
        <w:t>trategy</w:t>
      </w:r>
      <w:r w:rsidR="009619BD">
        <w:t xml:space="preserve"> 2025-2030</w:t>
      </w:r>
      <w:r>
        <w:t xml:space="preserve"> </w:t>
      </w:r>
      <w:r w:rsidR="008C3CB4">
        <w:t>guides</w:t>
      </w:r>
      <w:r w:rsidR="007465BF">
        <w:t xml:space="preserve"> how </w:t>
      </w:r>
      <w:r w:rsidR="00A625F9">
        <w:t>we</w:t>
      </w:r>
      <w:r w:rsidR="007465BF">
        <w:t xml:space="preserve"> </w:t>
      </w:r>
      <w:r w:rsidR="009A109E">
        <w:t xml:space="preserve">consider </w:t>
      </w:r>
      <w:r w:rsidR="00D83660">
        <w:t>balanc</w:t>
      </w:r>
      <w:r w:rsidR="008C3CB4">
        <w:t>ing</w:t>
      </w:r>
      <w:r w:rsidR="00D83660">
        <w:t xml:space="preserve"> </w:t>
      </w:r>
      <w:r w:rsidR="002166A2">
        <w:t xml:space="preserve">four </w:t>
      </w:r>
      <w:r w:rsidR="007E283F">
        <w:t>levers</w:t>
      </w:r>
      <w:r w:rsidR="0009119D">
        <w:t xml:space="preserve"> </w:t>
      </w:r>
      <w:r w:rsidR="00233A7D">
        <w:t xml:space="preserve">– </w:t>
      </w:r>
      <w:r w:rsidR="002166A2">
        <w:t>the</w:t>
      </w:r>
      <w:r w:rsidR="00472BF3">
        <w:t xml:space="preserve"> </w:t>
      </w:r>
      <w:r w:rsidR="0051746D">
        <w:t>Nat</w:t>
      </w:r>
      <w:r w:rsidR="00167093">
        <w:t xml:space="preserve">ural Hazards Insurance </w:t>
      </w:r>
      <w:r w:rsidR="00472BF3">
        <w:t>levy</w:t>
      </w:r>
      <w:r w:rsidR="00167093">
        <w:t xml:space="preserve"> (NHI levy)</w:t>
      </w:r>
      <w:r w:rsidR="00472BF3">
        <w:t>, risk transfer, building the</w:t>
      </w:r>
      <w:r w:rsidR="0053714F">
        <w:t xml:space="preserve"> Natural Hazard Fund</w:t>
      </w:r>
      <w:r w:rsidR="00472BF3">
        <w:t xml:space="preserve"> </w:t>
      </w:r>
      <w:r w:rsidR="0053714F">
        <w:t>(</w:t>
      </w:r>
      <w:r w:rsidR="00472BF3">
        <w:t>NHF</w:t>
      </w:r>
      <w:r w:rsidR="0053714F">
        <w:t>)</w:t>
      </w:r>
      <w:r w:rsidR="00726FA4">
        <w:t>,</w:t>
      </w:r>
      <w:r w:rsidR="00472BF3">
        <w:t xml:space="preserve"> and the amount of risk retained by the Government</w:t>
      </w:r>
      <w:r w:rsidR="007E283F">
        <w:t xml:space="preserve"> </w:t>
      </w:r>
      <w:r w:rsidR="00726FA4">
        <w:t xml:space="preserve">through </w:t>
      </w:r>
      <w:r w:rsidR="007E283F">
        <w:t>the Crown guarantee</w:t>
      </w:r>
      <w:r w:rsidR="002166A2">
        <w:t>.</w:t>
      </w:r>
      <w:r w:rsidR="00472BF3">
        <w:t xml:space="preserve"> </w:t>
      </w:r>
      <w:r w:rsidR="008C3CB4">
        <w:t xml:space="preserve">Two of these levers are set </w:t>
      </w:r>
      <w:r w:rsidR="00BD16BD">
        <w:t xml:space="preserve">by </w:t>
      </w:r>
      <w:r w:rsidR="00726FA4">
        <w:t>M</w:t>
      </w:r>
      <w:r w:rsidR="00BD16BD">
        <w:t>inisters</w:t>
      </w:r>
      <w:r w:rsidR="00B565A6">
        <w:t xml:space="preserve"> </w:t>
      </w:r>
      <w:r w:rsidR="00726FA4">
        <w:t>periodically</w:t>
      </w:r>
      <w:r w:rsidR="00B565A6">
        <w:t xml:space="preserve"> </w:t>
      </w:r>
      <w:r w:rsidR="005903CA">
        <w:t>in</w:t>
      </w:r>
      <w:r w:rsidR="00A21BA1">
        <w:t xml:space="preserve"> </w:t>
      </w:r>
      <w:r w:rsidR="003C5A47">
        <w:t xml:space="preserve">consultation </w:t>
      </w:r>
      <w:r w:rsidR="005903CA">
        <w:t xml:space="preserve">with </w:t>
      </w:r>
      <w:r w:rsidR="00E926BA">
        <w:t>us,</w:t>
      </w:r>
      <w:r w:rsidR="00B565A6">
        <w:t xml:space="preserve"> and</w:t>
      </w:r>
      <w:r w:rsidR="00E926BA">
        <w:t xml:space="preserve"> the other</w:t>
      </w:r>
      <w:r w:rsidR="00B565A6">
        <w:t xml:space="preserve"> two are </w:t>
      </w:r>
      <w:r w:rsidR="00743DEB">
        <w:t>at the</w:t>
      </w:r>
      <w:r w:rsidR="0083668D">
        <w:t xml:space="preserve"> discretion of the</w:t>
      </w:r>
      <w:r w:rsidR="00743DEB">
        <w:t xml:space="preserve"> </w:t>
      </w:r>
      <w:r w:rsidR="00F0617B">
        <w:t xml:space="preserve">NHC Toka Tū Ake </w:t>
      </w:r>
      <w:r w:rsidR="0083668D">
        <w:t xml:space="preserve">Board </w:t>
      </w:r>
      <w:r w:rsidR="00A458C5">
        <w:t>of Commissioners (the Board</w:t>
      </w:r>
      <w:r w:rsidR="00263063">
        <w:t>)</w:t>
      </w:r>
      <w:r w:rsidR="00BE4F5C">
        <w:t xml:space="preserve"> </w:t>
      </w:r>
      <w:r w:rsidR="00777A7F">
        <w:t xml:space="preserve">– </w:t>
      </w:r>
      <w:r w:rsidR="00BB309B">
        <w:t xml:space="preserve">see Figure </w:t>
      </w:r>
      <w:r w:rsidR="0080778F">
        <w:t>5</w:t>
      </w:r>
      <w:r w:rsidR="00017153">
        <w:t>.</w:t>
      </w:r>
    </w:p>
    <w:p w14:paraId="102B4344" w14:textId="299BCD53" w:rsidR="00487AC3" w:rsidRDefault="001B3685" w:rsidP="00487AC3">
      <w:pPr>
        <w:pStyle w:val="Heading1"/>
      </w:pPr>
      <w:bookmarkStart w:id="11" w:name="_Toc231890639"/>
      <w:r>
        <w:lastRenderedPageBreak/>
        <w:t xml:space="preserve">Risk </w:t>
      </w:r>
      <w:r w:rsidR="0009119D">
        <w:t>f</w:t>
      </w:r>
      <w:r>
        <w:t>inancing is a</w:t>
      </w:r>
      <w:r w:rsidR="00FB534E">
        <w:t xml:space="preserve">n important </w:t>
      </w:r>
      <w:r>
        <w:t>feature of our legislation</w:t>
      </w:r>
      <w:bookmarkEnd w:id="11"/>
    </w:p>
    <w:p w14:paraId="6FDEE6E6" w14:textId="05A9732C" w:rsidR="00E14C5B" w:rsidRPr="008C5B6B" w:rsidRDefault="00E14C5B" w:rsidP="008C5B6B">
      <w:r w:rsidRPr="008C5B6B">
        <w:t>The Natural Hazards Insurance Act</w:t>
      </w:r>
      <w:r w:rsidR="004436DB">
        <w:t xml:space="preserve"> 2023</w:t>
      </w:r>
      <w:r w:rsidRPr="008C5B6B">
        <w:t xml:space="preserve"> (NHI Act) and the Funding and Risk Management Statement </w:t>
      </w:r>
      <w:r w:rsidR="00406DE8">
        <w:t>(FRMS)</w:t>
      </w:r>
      <w:r w:rsidRPr="008C5B6B">
        <w:t xml:space="preserve"> provide the legislative framework for </w:t>
      </w:r>
      <w:r w:rsidR="007D6F1A">
        <w:t>our</w:t>
      </w:r>
      <w:r w:rsidRPr="008C5B6B">
        <w:t xml:space="preserve"> </w:t>
      </w:r>
      <w:r w:rsidR="00E841AD">
        <w:t>r</w:t>
      </w:r>
      <w:r w:rsidRPr="008C5B6B">
        <w:t xml:space="preserve">isk </w:t>
      </w:r>
      <w:r w:rsidR="00E841AD">
        <w:t>f</w:t>
      </w:r>
      <w:r w:rsidRPr="008C5B6B">
        <w:t xml:space="preserve">inancing </w:t>
      </w:r>
      <w:r w:rsidR="00E841AD">
        <w:t>s</w:t>
      </w:r>
      <w:r w:rsidRPr="008C5B6B">
        <w:t>trategy.</w:t>
      </w:r>
      <w:r w:rsidR="00A96B54">
        <w:rPr>
          <w:rStyle w:val="FootnoteReference"/>
        </w:rPr>
        <w:footnoteReference w:id="3"/>
      </w:r>
      <w:r w:rsidR="00A96B54" w:rsidRPr="00EE7838">
        <w:t xml:space="preserve"> </w:t>
      </w:r>
    </w:p>
    <w:p w14:paraId="4D559EB0" w14:textId="4CFA6EAB" w:rsidR="00487AC3" w:rsidRDefault="00487AC3" w:rsidP="00CA6160">
      <w:pPr>
        <w:pStyle w:val="Heading2"/>
        <w:rPr>
          <w:lang w:val="en-GB"/>
        </w:rPr>
      </w:pPr>
      <w:bookmarkStart w:id="12" w:name="_Toc199337436"/>
      <w:bookmarkStart w:id="13" w:name="_Toc231890640"/>
      <w:r>
        <w:rPr>
          <w:lang w:val="en-GB"/>
        </w:rPr>
        <w:t xml:space="preserve">Consistent with </w:t>
      </w:r>
      <w:r w:rsidR="00721E87">
        <w:rPr>
          <w:lang w:val="en-GB"/>
        </w:rPr>
        <w:t xml:space="preserve">the </w:t>
      </w:r>
      <w:r>
        <w:rPr>
          <w:lang w:val="en-GB"/>
        </w:rPr>
        <w:t>NHI Act</w:t>
      </w:r>
      <w:bookmarkEnd w:id="12"/>
      <w:bookmarkEnd w:id="13"/>
    </w:p>
    <w:p w14:paraId="6D55C0F2" w14:textId="6F70230C" w:rsidR="003C315C" w:rsidRPr="008C5B6B" w:rsidRDefault="008716DB" w:rsidP="008C5B6B">
      <w:r>
        <w:t>Th</w:t>
      </w:r>
      <w:r w:rsidR="0049102D">
        <w:t xml:space="preserve">is </w:t>
      </w:r>
      <w:r>
        <w:t>strategy</w:t>
      </w:r>
      <w:r w:rsidR="00E96217">
        <w:t xml:space="preserve"> </w:t>
      </w:r>
      <w:r>
        <w:t>contributes</w:t>
      </w:r>
      <w:r w:rsidR="00DF0BE0">
        <w:t xml:space="preserve">, as set out in section 128 (2)(b) of the NHI Act, </w:t>
      </w:r>
      <w:r>
        <w:t xml:space="preserve">to </w:t>
      </w:r>
      <w:r w:rsidDel="001647B0">
        <w:t>the management</w:t>
      </w:r>
      <w:r>
        <w:t xml:space="preserve"> of the financial risk to the </w:t>
      </w:r>
      <w:r w:rsidR="007174DD">
        <w:t>Crown of providing natural hazard cover</w:t>
      </w:r>
      <w:r w:rsidR="00DE394F">
        <w:t>. It does this</w:t>
      </w:r>
      <w:r w:rsidR="007174DD">
        <w:t xml:space="preserve"> by </w:t>
      </w:r>
      <w:r w:rsidR="00DE394F">
        <w:t xml:space="preserve">outlining our approach to </w:t>
      </w:r>
      <w:r w:rsidR="007174DD">
        <w:t xml:space="preserve">managing the NHF, collecting the </w:t>
      </w:r>
      <w:r w:rsidR="00167093">
        <w:t xml:space="preserve">NHI </w:t>
      </w:r>
      <w:r w:rsidR="007174DD">
        <w:t>levy, and arranging reinsurance or other risk transfer products</w:t>
      </w:r>
      <w:r w:rsidR="00050BAF">
        <w:t>.</w:t>
      </w:r>
      <w:r w:rsidR="003C315C" w:rsidRPr="008C5B6B">
        <w:t xml:space="preserve"> </w:t>
      </w:r>
    </w:p>
    <w:p w14:paraId="11064ED8" w14:textId="7D7E95DA" w:rsidR="006D7D47" w:rsidRDefault="006D7D47" w:rsidP="008C5B6B">
      <w:r>
        <w:t xml:space="preserve">This strategy also supports </w:t>
      </w:r>
      <w:r w:rsidDel="003D58DA">
        <w:t xml:space="preserve">the </w:t>
      </w:r>
      <w:r>
        <w:t>delivery</w:t>
      </w:r>
      <w:r w:rsidR="002133A3">
        <w:t xml:space="preserve"> of</w:t>
      </w:r>
      <w:r>
        <w:t xml:space="preserve"> the </w:t>
      </w:r>
      <w:r w:rsidR="00D326F8">
        <w:t xml:space="preserve">functions </w:t>
      </w:r>
      <w:r>
        <w:t xml:space="preserve">of </w:t>
      </w:r>
      <w:r w:rsidR="00530A5B">
        <w:t>NHC Toka Tū Ake</w:t>
      </w:r>
      <w:r>
        <w:t xml:space="preserve"> under section 129 of the NHI Act, </w:t>
      </w:r>
      <w:r w:rsidR="004167B3">
        <w:t>especially</w:t>
      </w:r>
      <w:r>
        <w:t xml:space="preserve">: </w:t>
      </w:r>
    </w:p>
    <w:p w14:paraId="0261FC12" w14:textId="1739FAC5" w:rsidR="004167B3" w:rsidRDefault="004167B3" w:rsidP="003F537A">
      <w:pPr>
        <w:pStyle w:val="ListParagraph"/>
        <w:numPr>
          <w:ilvl w:val="0"/>
          <w:numId w:val="5"/>
        </w:numPr>
        <w:ind w:left="357" w:hanging="357"/>
        <w:contextualSpacing w:val="0"/>
      </w:pPr>
      <w:r w:rsidRPr="008C5B6B">
        <w:t>section 129(b)</w:t>
      </w:r>
      <w:r w:rsidR="00480E00">
        <w:t xml:space="preserve"> – to manage the NHF, including by investing the NHF, in accordance with the NHI Act</w:t>
      </w:r>
    </w:p>
    <w:p w14:paraId="19AE961F" w14:textId="50091E9D" w:rsidR="00112202" w:rsidRDefault="00112202" w:rsidP="003F537A">
      <w:pPr>
        <w:pStyle w:val="ListParagraph"/>
        <w:numPr>
          <w:ilvl w:val="0"/>
          <w:numId w:val="5"/>
        </w:numPr>
        <w:ind w:left="357" w:hanging="357"/>
        <w:contextualSpacing w:val="0"/>
      </w:pPr>
      <w:r>
        <w:t xml:space="preserve">section </w:t>
      </w:r>
      <w:r w:rsidR="00AD4E34">
        <w:t>129</w:t>
      </w:r>
      <w:r w:rsidR="002B3A48">
        <w:t xml:space="preserve">(d) – to arrange reinsurance or other risk transfer products </w:t>
      </w:r>
      <w:r w:rsidR="00534207">
        <w:t>for</w:t>
      </w:r>
      <w:r w:rsidR="00425C41">
        <w:t xml:space="preserve"> all or part of natural hazard cover.</w:t>
      </w:r>
      <w:r w:rsidR="002B3A48">
        <w:t xml:space="preserve"> </w:t>
      </w:r>
    </w:p>
    <w:p w14:paraId="0F6D2F93" w14:textId="3FBBCCB3" w:rsidR="00487AC3" w:rsidRDefault="00487AC3" w:rsidP="00CA6160">
      <w:pPr>
        <w:pStyle w:val="Heading2"/>
        <w:rPr>
          <w:lang w:val="en-GB"/>
        </w:rPr>
      </w:pPr>
      <w:bookmarkStart w:id="14" w:name="_Toc199337437"/>
      <w:bookmarkStart w:id="15" w:name="_Toc231890641"/>
      <w:r>
        <w:rPr>
          <w:lang w:val="en-GB"/>
        </w:rPr>
        <w:t>Consistent with</w:t>
      </w:r>
      <w:r w:rsidR="00534207">
        <w:rPr>
          <w:lang w:val="en-GB"/>
        </w:rPr>
        <w:t xml:space="preserve"> the</w:t>
      </w:r>
      <w:r>
        <w:rPr>
          <w:lang w:val="en-GB"/>
        </w:rPr>
        <w:t xml:space="preserve"> FRMS</w:t>
      </w:r>
      <w:bookmarkStart w:id="16" w:name="_Toc197435974"/>
      <w:r w:rsidR="00922FDB">
        <w:rPr>
          <w:lang w:val="en-GB"/>
        </w:rPr>
        <w:t xml:space="preserve"> and its principles</w:t>
      </w:r>
      <w:bookmarkEnd w:id="14"/>
      <w:bookmarkEnd w:id="15"/>
    </w:p>
    <w:p w14:paraId="732B6E8C" w14:textId="66448E07" w:rsidR="00625CA9" w:rsidRDefault="00462DBD" w:rsidP="002B595F">
      <w:r>
        <w:t xml:space="preserve">The FRMS is issued by the Government in consultation with the Board and </w:t>
      </w:r>
      <w:r w:rsidR="00B76297">
        <w:t xml:space="preserve">is a </w:t>
      </w:r>
      <w:r>
        <w:t xml:space="preserve">critical </w:t>
      </w:r>
      <w:r w:rsidR="00B76297">
        <w:t xml:space="preserve">part of the financial governance of the </w:t>
      </w:r>
      <w:r w:rsidR="00DF4731">
        <w:t xml:space="preserve">NHI </w:t>
      </w:r>
      <w:r w:rsidR="00534207">
        <w:t>s</w:t>
      </w:r>
      <w:r w:rsidR="00E45F4E">
        <w:t xml:space="preserve">cheme </w:t>
      </w:r>
      <w:r w:rsidR="00625CA9">
        <w:t xml:space="preserve">because it </w:t>
      </w:r>
      <w:r w:rsidR="00B76297">
        <w:t>sets out</w:t>
      </w:r>
      <w:r w:rsidR="00625CA9">
        <w:t>:</w:t>
      </w:r>
      <w:r w:rsidR="00B76297">
        <w:t xml:space="preserve"> </w:t>
      </w:r>
    </w:p>
    <w:p w14:paraId="76C4A585" w14:textId="208D169E" w:rsidR="00625CA9" w:rsidRDefault="00B76297" w:rsidP="003F537A">
      <w:pPr>
        <w:pStyle w:val="ListParagraph"/>
        <w:numPr>
          <w:ilvl w:val="0"/>
          <w:numId w:val="5"/>
        </w:numPr>
        <w:ind w:left="357" w:hanging="357"/>
        <w:contextualSpacing w:val="0"/>
      </w:pPr>
      <w:r>
        <w:t xml:space="preserve">how the costs and risks of the </w:t>
      </w:r>
      <w:r w:rsidR="00DF4731">
        <w:t xml:space="preserve">NHI </w:t>
      </w:r>
      <w:r w:rsidR="00534207">
        <w:t>s</w:t>
      </w:r>
      <w:r>
        <w:t xml:space="preserve">cheme are shared between the Crown and </w:t>
      </w:r>
      <w:r w:rsidR="00167093">
        <w:t xml:space="preserve">NHI </w:t>
      </w:r>
      <w:r>
        <w:t>levy payers</w:t>
      </w:r>
    </w:p>
    <w:p w14:paraId="3BB4CA4D" w14:textId="4BA49E98" w:rsidR="00EE389F" w:rsidRPr="002B595F" w:rsidRDefault="00EE389F" w:rsidP="003F537A">
      <w:pPr>
        <w:pStyle w:val="ListParagraph"/>
        <w:numPr>
          <w:ilvl w:val="0"/>
          <w:numId w:val="5"/>
        </w:numPr>
        <w:ind w:left="357" w:hanging="357"/>
        <w:contextualSpacing w:val="0"/>
      </w:pPr>
      <w:r w:rsidRPr="008F04DD">
        <w:t>the financial parameters</w:t>
      </w:r>
      <w:r>
        <w:t xml:space="preserve"> </w:t>
      </w:r>
      <w:r w:rsidRPr="008F04DD">
        <w:t xml:space="preserve">of the </w:t>
      </w:r>
      <w:r w:rsidR="00DF4731">
        <w:t xml:space="preserve">NHI </w:t>
      </w:r>
      <w:r w:rsidR="00534207">
        <w:t>s</w:t>
      </w:r>
      <w:r w:rsidR="00625CA9">
        <w:t>cheme</w:t>
      </w:r>
      <w:r w:rsidRPr="008F04DD">
        <w:t>, including</w:t>
      </w:r>
      <w:r>
        <w:t xml:space="preserve"> </w:t>
      </w:r>
      <w:r w:rsidRPr="008F04DD">
        <w:t xml:space="preserve">the </w:t>
      </w:r>
      <w:r w:rsidR="00167093">
        <w:t xml:space="preserve">NHI </w:t>
      </w:r>
      <w:r w:rsidRPr="008F04DD">
        <w:t xml:space="preserve">levy </w:t>
      </w:r>
      <w:r w:rsidR="00625CA9">
        <w:t>rate</w:t>
      </w:r>
      <w:r w:rsidRPr="008F04DD">
        <w:t xml:space="preserve"> and a statement</w:t>
      </w:r>
      <w:r>
        <w:t xml:space="preserve"> </w:t>
      </w:r>
      <w:r w:rsidRPr="008F04DD">
        <w:t xml:space="preserve">of Crown risk appetite </w:t>
      </w:r>
      <w:r w:rsidR="00625CA9">
        <w:t>that informs the</w:t>
      </w:r>
      <w:r>
        <w:t xml:space="preserve"> </w:t>
      </w:r>
      <w:r w:rsidRPr="008F04DD">
        <w:t>Board</w:t>
      </w:r>
      <w:r w:rsidR="00625CA9">
        <w:t>’s</w:t>
      </w:r>
      <w:r w:rsidRPr="008F04DD">
        <w:t xml:space="preserve"> decisions</w:t>
      </w:r>
      <w:r w:rsidR="00625CA9">
        <w:t xml:space="preserve"> about</w:t>
      </w:r>
      <w:r w:rsidRPr="008F04DD">
        <w:t xml:space="preserve"> its risk</w:t>
      </w:r>
      <w:r>
        <w:t xml:space="preserve"> </w:t>
      </w:r>
      <w:r w:rsidRPr="008F04DD">
        <w:t>financing strategy.</w:t>
      </w:r>
    </w:p>
    <w:p w14:paraId="2825C64F" w14:textId="056501C5" w:rsidR="001E764D" w:rsidRDefault="00B76297" w:rsidP="00D73EC7">
      <w:r>
        <w:t>Th</w:t>
      </w:r>
      <w:r w:rsidR="00B2558B">
        <w:t>e</w:t>
      </w:r>
      <w:r>
        <w:t xml:space="preserve"> first </w:t>
      </w:r>
      <w:r w:rsidR="00FC3434">
        <w:t>FRMS</w:t>
      </w:r>
      <w:r>
        <w:t xml:space="preserve"> was released</w:t>
      </w:r>
      <w:r w:rsidR="005E748B">
        <w:t xml:space="preserve"> on</w:t>
      </w:r>
      <w:r>
        <w:t xml:space="preserve"> 1 July 2024. The </w:t>
      </w:r>
      <w:r w:rsidR="006E2250">
        <w:t>NHI Act</w:t>
      </w:r>
      <w:r w:rsidDel="005E748B">
        <w:t xml:space="preserve"> </w:t>
      </w:r>
      <w:r w:rsidR="005E748B">
        <w:t xml:space="preserve">introduced </w:t>
      </w:r>
      <w:r>
        <w:t xml:space="preserve">the requirement for the Government to regularly review the financial settings and </w:t>
      </w:r>
      <w:r w:rsidR="00167093">
        <w:t xml:space="preserve">NHI </w:t>
      </w:r>
      <w:r>
        <w:t xml:space="preserve">levy settings, and </w:t>
      </w:r>
      <w:r w:rsidR="00CC39EE">
        <w:t>to</w:t>
      </w:r>
      <w:r w:rsidDel="005E748B">
        <w:t xml:space="preserve"> develop</w:t>
      </w:r>
      <w:r>
        <w:t xml:space="preserve"> a </w:t>
      </w:r>
      <w:r w:rsidR="00A60AE9">
        <w:t>FRMS</w:t>
      </w:r>
      <w:r>
        <w:t xml:space="preserve"> at least every five years.</w:t>
      </w:r>
      <w:r w:rsidR="008733C0">
        <w:t xml:space="preserve"> </w:t>
      </w:r>
      <w:r w:rsidR="0034572C">
        <w:t xml:space="preserve">We have aligned the </w:t>
      </w:r>
      <w:r w:rsidR="008733C0">
        <w:t xml:space="preserve">Risk Financing Strategy </w:t>
      </w:r>
      <w:r w:rsidR="005E748B">
        <w:t xml:space="preserve">timeline </w:t>
      </w:r>
      <w:r w:rsidR="00546F7F">
        <w:t>with</w:t>
      </w:r>
      <w:r w:rsidR="005934A1">
        <w:t xml:space="preserve"> </w:t>
      </w:r>
      <w:r w:rsidR="005757DB">
        <w:t xml:space="preserve">that of </w:t>
      </w:r>
      <w:r w:rsidR="00546F7F">
        <w:t>the</w:t>
      </w:r>
      <w:r w:rsidR="005757DB">
        <w:t xml:space="preserve"> </w:t>
      </w:r>
      <w:r w:rsidR="0012168D">
        <w:t>FRMS</w:t>
      </w:r>
      <w:r w:rsidR="005757DB">
        <w:t>.</w:t>
      </w:r>
    </w:p>
    <w:p w14:paraId="52327202" w14:textId="02CDD49D" w:rsidR="005F27D7" w:rsidRDefault="005F27D7" w:rsidP="001E764D">
      <w:pPr>
        <w:pStyle w:val="Heading2"/>
      </w:pPr>
      <w:bookmarkStart w:id="17" w:name="_Toc199337438"/>
      <w:bookmarkStart w:id="18" w:name="_Toc231890642"/>
      <w:r>
        <w:t xml:space="preserve">FRMS </w:t>
      </w:r>
      <w:r w:rsidR="005E748B">
        <w:t>p</w:t>
      </w:r>
      <w:r>
        <w:t>rinciples</w:t>
      </w:r>
      <w:bookmarkEnd w:id="17"/>
      <w:bookmarkEnd w:id="18"/>
    </w:p>
    <w:p w14:paraId="6C903A3A" w14:textId="539080D3" w:rsidR="00922FDB" w:rsidRDefault="00656ACB" w:rsidP="004A184D">
      <w:pPr>
        <w:spacing w:after="120"/>
      </w:pPr>
      <w:r>
        <w:t>Four</w:t>
      </w:r>
      <w:r w:rsidR="00922FDB">
        <w:t xml:space="preserve"> </w:t>
      </w:r>
      <w:r w:rsidR="00325AF5">
        <w:t>funding and finance principles underpin the FRMS</w:t>
      </w:r>
      <w:r w:rsidR="00101218">
        <w:t xml:space="preserve"> and</w:t>
      </w:r>
      <w:r w:rsidR="008B7B97">
        <w:t xml:space="preserve"> have</w:t>
      </w:r>
      <w:r w:rsidR="00101218">
        <w:t xml:space="preserve"> </w:t>
      </w:r>
      <w:r w:rsidR="00C76C08">
        <w:t>informed this strategy</w:t>
      </w:r>
      <w:r w:rsidR="00EB12D1">
        <w:t xml:space="preserve">: </w:t>
      </w:r>
    </w:p>
    <w:p w14:paraId="7B88C2B0" w14:textId="784EA14C" w:rsidR="00EB12D1" w:rsidRDefault="005840E2" w:rsidP="003F537A">
      <w:pPr>
        <w:pStyle w:val="ListParagraph"/>
        <w:numPr>
          <w:ilvl w:val="0"/>
          <w:numId w:val="5"/>
        </w:numPr>
        <w:ind w:left="357" w:hanging="357"/>
        <w:contextualSpacing w:val="0"/>
      </w:pPr>
      <w:r>
        <w:t xml:space="preserve">NHI </w:t>
      </w:r>
      <w:r w:rsidR="005E748B">
        <w:t>s</w:t>
      </w:r>
      <w:r w:rsidR="005D02DD">
        <w:t xml:space="preserve">cheme sustainability: </w:t>
      </w:r>
      <w:r w:rsidR="00E53314">
        <w:t xml:space="preserve">NHI </w:t>
      </w:r>
      <w:r w:rsidR="005D02DD">
        <w:t xml:space="preserve">levies </w:t>
      </w:r>
      <w:r w:rsidR="002444E2">
        <w:t xml:space="preserve">should be set fairly to cover the long-term cost of the </w:t>
      </w:r>
      <w:r>
        <w:t xml:space="preserve">NHI </w:t>
      </w:r>
      <w:r w:rsidR="005E748B">
        <w:t>s</w:t>
      </w:r>
      <w:r w:rsidR="002444E2">
        <w:t>cheme</w:t>
      </w:r>
    </w:p>
    <w:p w14:paraId="38D499DA" w14:textId="5E809D10" w:rsidR="002444E2" w:rsidRDefault="00190153" w:rsidP="003F537A">
      <w:pPr>
        <w:pStyle w:val="ListParagraph"/>
        <w:numPr>
          <w:ilvl w:val="0"/>
          <w:numId w:val="5"/>
        </w:numPr>
        <w:ind w:left="357" w:hanging="357"/>
        <w:contextualSpacing w:val="0"/>
      </w:pPr>
      <w:r>
        <w:lastRenderedPageBreak/>
        <w:t>I</w:t>
      </w:r>
      <w:r w:rsidR="002444E2">
        <w:t>nterge</w:t>
      </w:r>
      <w:r w:rsidR="00CC6300">
        <w:t xml:space="preserve">nerational equity: the costs and benefits of the </w:t>
      </w:r>
      <w:r w:rsidR="005840E2">
        <w:t xml:space="preserve">NHI </w:t>
      </w:r>
      <w:r w:rsidR="005A429C">
        <w:t>s</w:t>
      </w:r>
      <w:r w:rsidR="00CC6300">
        <w:t>cheme should be smoothed over time, as far as practical</w:t>
      </w:r>
    </w:p>
    <w:p w14:paraId="2450AFB6" w14:textId="2848E91F" w:rsidR="00CC6300" w:rsidRDefault="005840E2" w:rsidP="003F537A">
      <w:pPr>
        <w:pStyle w:val="ListParagraph"/>
        <w:numPr>
          <w:ilvl w:val="0"/>
          <w:numId w:val="5"/>
        </w:numPr>
        <w:ind w:left="357" w:hanging="357"/>
        <w:contextualSpacing w:val="0"/>
      </w:pPr>
      <w:r>
        <w:t xml:space="preserve">NHI </w:t>
      </w:r>
      <w:r w:rsidR="005A429C">
        <w:t>s</w:t>
      </w:r>
      <w:r w:rsidR="00CC6300">
        <w:t>cheme liquidity: funding is available to pay claims in a fair and timely manner</w:t>
      </w:r>
    </w:p>
    <w:p w14:paraId="61EBEC1D" w14:textId="02042ED6" w:rsidR="00263864" w:rsidRPr="00641D3D" w:rsidRDefault="00FA2FB7" w:rsidP="003F537A">
      <w:pPr>
        <w:pStyle w:val="ListParagraph"/>
        <w:numPr>
          <w:ilvl w:val="0"/>
          <w:numId w:val="5"/>
        </w:numPr>
        <w:ind w:left="357" w:hanging="357"/>
        <w:contextualSpacing w:val="0"/>
      </w:pPr>
      <w:r>
        <w:t>Efficiency</w:t>
      </w:r>
      <w:r w:rsidR="00CC6300">
        <w:t xml:space="preserve">: risks are accepted or transferred to ensure long-term economic value while maintaining the short-term resilience of the </w:t>
      </w:r>
      <w:r w:rsidR="005840E2">
        <w:t xml:space="preserve">NHI </w:t>
      </w:r>
      <w:r w:rsidR="00973AF7">
        <w:t>s</w:t>
      </w:r>
      <w:r w:rsidR="00CC6300">
        <w:t xml:space="preserve">cheme to meet claims. </w:t>
      </w:r>
    </w:p>
    <w:p w14:paraId="16998C6D" w14:textId="10C258B9" w:rsidR="00561406" w:rsidRDefault="00E52061" w:rsidP="00EB6552">
      <w:pPr>
        <w:pStyle w:val="Heading1"/>
      </w:pPr>
      <w:bookmarkStart w:id="19" w:name="_Toc199337439"/>
      <w:bookmarkStart w:id="20" w:name="_Toc231890643"/>
      <w:r>
        <w:t>Our</w:t>
      </w:r>
      <w:r w:rsidR="00561406">
        <w:t xml:space="preserve"> </w:t>
      </w:r>
      <w:r w:rsidR="00CA3A86">
        <w:t>strat</w:t>
      </w:r>
      <w:bookmarkEnd w:id="16"/>
      <w:r w:rsidR="005A3C42">
        <w:t>egic framework</w:t>
      </w:r>
      <w:bookmarkEnd w:id="19"/>
      <w:bookmarkEnd w:id="20"/>
    </w:p>
    <w:p w14:paraId="041F4A3B" w14:textId="743035DE" w:rsidR="00FE5465" w:rsidRPr="007F12FB" w:rsidRDefault="00DB65B8" w:rsidP="004A184D">
      <w:pPr>
        <w:spacing w:after="120"/>
      </w:pPr>
      <w:r>
        <w:t>Our</w:t>
      </w:r>
      <w:r w:rsidR="00263864" w:rsidRPr="007F12FB">
        <w:t xml:space="preserve"> strategic framework</w:t>
      </w:r>
      <w:r w:rsidR="00FE5465" w:rsidRPr="007F12FB">
        <w:t xml:space="preserve"> </w:t>
      </w:r>
      <w:r w:rsidR="00111834">
        <w:t>informs</w:t>
      </w:r>
      <w:r w:rsidR="00FE5465" w:rsidRPr="007F12FB">
        <w:t xml:space="preserve"> o</w:t>
      </w:r>
      <w:r w:rsidR="00E81F06" w:rsidRPr="007F12FB">
        <w:t>ur Statement of Intent</w:t>
      </w:r>
      <w:r w:rsidR="00765661" w:rsidRPr="007F12FB">
        <w:t xml:space="preserve"> </w:t>
      </w:r>
      <w:r w:rsidR="00E81F06" w:rsidRPr="007F12FB">
        <w:t>2024-2028</w:t>
      </w:r>
      <w:r w:rsidR="00DB43A8">
        <w:t xml:space="preserve"> </w:t>
      </w:r>
      <w:r w:rsidR="00DB43A8" w:rsidRPr="007F12FB">
        <w:t>(</w:t>
      </w:r>
      <w:proofErr w:type="spellStart"/>
      <w:r w:rsidR="00DB43A8" w:rsidRPr="007F12FB">
        <w:t>SoI</w:t>
      </w:r>
      <w:proofErr w:type="spellEnd"/>
      <w:r w:rsidR="00DB43A8" w:rsidRPr="007F12FB">
        <w:t>)</w:t>
      </w:r>
      <w:r w:rsidR="00111834">
        <w:t>,</w:t>
      </w:r>
      <w:r w:rsidR="00E81F06" w:rsidRPr="007F12FB">
        <w:t xml:space="preserve"> </w:t>
      </w:r>
      <w:r w:rsidR="00FE5465" w:rsidRPr="007F12FB">
        <w:t>defin</w:t>
      </w:r>
      <w:r w:rsidR="00111834">
        <w:t>ing</w:t>
      </w:r>
      <w:r w:rsidR="00FE5465" w:rsidRPr="007F12FB">
        <w:t xml:space="preserve"> our strategic focus and giv</w:t>
      </w:r>
      <w:r w:rsidR="00111834">
        <w:t>ing</w:t>
      </w:r>
      <w:r w:rsidR="00FE5465" w:rsidRPr="007F12FB">
        <w:t xml:space="preserve"> us a clear vision of what we are working to achieve.</w:t>
      </w:r>
      <w:r w:rsidR="00DB43A8" w:rsidRPr="00D73EC7" w:rsidDel="00DB43A8">
        <w:t xml:space="preserve"> </w:t>
      </w:r>
      <w:r w:rsidR="00263864" w:rsidRPr="007F12FB">
        <w:t xml:space="preserve">For our insurer partners, stakeholders, communities and homeowners, it illustrates our core purpose and how our actions deliver on our intentions. </w:t>
      </w:r>
    </w:p>
    <w:p w14:paraId="5C3553AA" w14:textId="4B4A1673" w:rsidR="00263864" w:rsidRDefault="00F55CE5" w:rsidP="00263864">
      <w:pPr>
        <w:pStyle w:val="Heading2"/>
        <w:rPr>
          <w:lang w:val="en-GB" w:eastAsia="en-GB" w:bidi="en-GB"/>
        </w:rPr>
      </w:pPr>
      <w:bookmarkStart w:id="21" w:name="_Toc197435975"/>
      <w:bookmarkStart w:id="22" w:name="_Toc199337440"/>
      <w:bookmarkStart w:id="23" w:name="_Toc231890644"/>
      <w:r>
        <w:rPr>
          <w:lang w:val="en-GB" w:eastAsia="en-GB" w:bidi="en-GB"/>
        </w:rPr>
        <w:t>Our</w:t>
      </w:r>
      <w:r w:rsidR="00903AFA" w:rsidRPr="00903AFA">
        <w:rPr>
          <w:lang w:val="en-GB" w:eastAsia="en-GB" w:bidi="en-GB"/>
        </w:rPr>
        <w:t xml:space="preserve"> </w:t>
      </w:r>
      <w:r>
        <w:rPr>
          <w:lang w:val="en-GB" w:eastAsia="en-GB" w:bidi="en-GB"/>
        </w:rPr>
        <w:t>v</w:t>
      </w:r>
      <w:r w:rsidR="00263864">
        <w:rPr>
          <w:lang w:val="en-GB" w:eastAsia="en-GB" w:bidi="en-GB"/>
        </w:rPr>
        <w:t>ision</w:t>
      </w:r>
      <w:bookmarkEnd w:id="21"/>
      <w:r w:rsidR="00263864">
        <w:rPr>
          <w:lang w:val="en-GB" w:eastAsia="en-GB" w:bidi="en-GB"/>
        </w:rPr>
        <w:t xml:space="preserve"> and priorities</w:t>
      </w:r>
      <w:bookmarkEnd w:id="22"/>
      <w:bookmarkEnd w:id="23"/>
    </w:p>
    <w:p w14:paraId="04D795A6" w14:textId="686E271E" w:rsidR="00263864" w:rsidRPr="007F12FB" w:rsidRDefault="00DD1B27" w:rsidP="007842BB">
      <w:pPr>
        <w:spacing w:after="120"/>
      </w:pPr>
      <w:r w:rsidRPr="00D675DA">
        <w:t>Our</w:t>
      </w:r>
      <w:r w:rsidR="00263864">
        <w:t xml:space="preserve"> vision is t</w:t>
      </w:r>
      <w:r w:rsidR="00263864" w:rsidRPr="007F12FB">
        <w:t>o be a world-class public insurance scheme that reduces the impact of natural hazards on people, property, and the community</w:t>
      </w:r>
      <w:r w:rsidR="005A3C42" w:rsidRPr="007F12FB">
        <w:t>.</w:t>
      </w:r>
    </w:p>
    <w:p w14:paraId="12C6AD35" w14:textId="21139B67" w:rsidR="0067398C" w:rsidRDefault="00263864" w:rsidP="00D675DA">
      <w:r w:rsidRPr="007F12FB">
        <w:t xml:space="preserve">The strategic priorities are the basis of our strategic planning. They describe the work we do, what we intend to deliver in the medium term (the four years covered by our </w:t>
      </w:r>
      <w:proofErr w:type="spellStart"/>
      <w:r w:rsidR="00C6762C">
        <w:t>SoI</w:t>
      </w:r>
      <w:proofErr w:type="spellEnd"/>
      <w:r w:rsidRPr="007F12FB">
        <w:t xml:space="preserve">) and how we will allocate resources to progress our long-term strategy. There is one priority for each of our four output classes – </w:t>
      </w:r>
      <w:r w:rsidR="00DD1B27" w:rsidRPr="00D675DA">
        <w:t>R</w:t>
      </w:r>
      <w:r w:rsidRPr="00D675DA">
        <w:t xml:space="preserve">esilience, </w:t>
      </w:r>
      <w:r w:rsidR="00DD1B27" w:rsidRPr="00D675DA">
        <w:t>R</w:t>
      </w:r>
      <w:r w:rsidRPr="00D675DA">
        <w:t xml:space="preserve">eadiness, </w:t>
      </w:r>
      <w:r w:rsidR="00DD1B27" w:rsidRPr="00D675DA">
        <w:t>R</w:t>
      </w:r>
      <w:r w:rsidRPr="00D675DA">
        <w:t xml:space="preserve">isk </w:t>
      </w:r>
      <w:r w:rsidR="00DD1B27" w:rsidRPr="00D675DA">
        <w:t>F</w:t>
      </w:r>
      <w:r w:rsidRPr="00D675DA">
        <w:t>inancing</w:t>
      </w:r>
      <w:r w:rsidRPr="007F12FB">
        <w:t xml:space="preserve">, and </w:t>
      </w:r>
      <w:r w:rsidR="00DD1B27" w:rsidRPr="00D675DA">
        <w:t>R</w:t>
      </w:r>
      <w:r w:rsidRPr="00D675DA">
        <w:t>ecovery</w:t>
      </w:r>
      <w:r w:rsidR="00A64466" w:rsidRPr="00D675DA">
        <w:t xml:space="preserve"> (the </w:t>
      </w:r>
      <w:r w:rsidR="00A7583E">
        <w:t>‘</w:t>
      </w:r>
      <w:r w:rsidR="00A64466" w:rsidRPr="00D675DA">
        <w:t>4Rs</w:t>
      </w:r>
      <w:r w:rsidR="00A7583E">
        <w:t>’</w:t>
      </w:r>
      <w:r w:rsidR="00A64466" w:rsidRPr="00D675DA">
        <w:t>)</w:t>
      </w:r>
      <w:r w:rsidRPr="00D675DA">
        <w:t>.</w:t>
      </w:r>
      <w:r w:rsidRPr="007F12FB">
        <w:t xml:space="preserve"> If we deliver our strategic priorities </w:t>
      </w:r>
      <w:r w:rsidR="003D6769">
        <w:t>according to</w:t>
      </w:r>
      <w:r w:rsidRPr="007F12FB">
        <w:t xml:space="preserve"> our roles and responsibilities as set out in our governing legislation, we will achieve our vision.</w:t>
      </w:r>
    </w:p>
    <w:p w14:paraId="6A69A673" w14:textId="08FD54B9" w:rsidR="00746B36" w:rsidRDefault="00746B36" w:rsidP="007842BB">
      <w:pPr>
        <w:spacing w:after="120"/>
      </w:pPr>
      <w:r w:rsidRPr="007F12FB">
        <w:t>The 4Rs complement</w:t>
      </w:r>
      <w:r w:rsidR="0067398C">
        <w:t xml:space="preserve"> and interact with </w:t>
      </w:r>
      <w:r w:rsidRPr="007F12FB">
        <w:t xml:space="preserve">each other, </w:t>
      </w:r>
      <w:r w:rsidR="005E38FE">
        <w:t>with Risk Financing hav</w:t>
      </w:r>
      <w:r w:rsidR="00696E2D">
        <w:t>ing</w:t>
      </w:r>
      <w:r w:rsidR="005E38FE">
        <w:t xml:space="preserve"> a strong connection </w:t>
      </w:r>
      <w:r w:rsidR="00A30148">
        <w:t xml:space="preserve">to the other </w:t>
      </w:r>
      <w:r w:rsidR="00D73EC7">
        <w:t>output classes.</w:t>
      </w:r>
      <w:r>
        <w:t xml:space="preserve"> </w:t>
      </w:r>
    </w:p>
    <w:p w14:paraId="75088956" w14:textId="5115888C" w:rsidR="00175D6D" w:rsidRPr="008E07B3" w:rsidRDefault="00175D6D" w:rsidP="009A1AD6">
      <w:pPr>
        <w:pStyle w:val="Caption"/>
        <w:keepNext/>
        <w:rPr>
          <w:i w:val="0"/>
          <w:sz w:val="20"/>
          <w:szCs w:val="20"/>
        </w:rPr>
      </w:pPr>
      <w:r w:rsidRPr="008E07B3">
        <w:rPr>
          <w:i w:val="0"/>
          <w:sz w:val="20"/>
          <w:szCs w:val="20"/>
        </w:rPr>
        <w:t xml:space="preserve">Figure </w:t>
      </w:r>
      <w:r w:rsidR="00BE5FA0" w:rsidRPr="008E07B3">
        <w:rPr>
          <w:i w:val="0"/>
          <w:sz w:val="20"/>
          <w:szCs w:val="20"/>
        </w:rPr>
        <w:fldChar w:fldCharType="begin"/>
      </w:r>
      <w:r w:rsidR="00BE5FA0" w:rsidRPr="008E07B3">
        <w:rPr>
          <w:i w:val="0"/>
          <w:sz w:val="20"/>
          <w:szCs w:val="20"/>
        </w:rPr>
        <w:instrText xml:space="preserve"> SEQ Figure \* ARABIC </w:instrText>
      </w:r>
      <w:r w:rsidR="00BE5FA0" w:rsidRPr="008E07B3">
        <w:rPr>
          <w:i w:val="0"/>
          <w:sz w:val="20"/>
          <w:szCs w:val="20"/>
        </w:rPr>
        <w:fldChar w:fldCharType="separate"/>
      </w:r>
      <w:r w:rsidR="00EA2408">
        <w:rPr>
          <w:i w:val="0"/>
          <w:noProof/>
          <w:sz w:val="20"/>
          <w:szCs w:val="20"/>
        </w:rPr>
        <w:t>2</w:t>
      </w:r>
      <w:r w:rsidR="00BE5FA0" w:rsidRPr="008E07B3">
        <w:rPr>
          <w:i w:val="0"/>
          <w:sz w:val="20"/>
          <w:szCs w:val="20"/>
        </w:rPr>
        <w:fldChar w:fldCharType="end"/>
      </w:r>
      <w:r w:rsidR="00803F92">
        <w:rPr>
          <w:i w:val="0"/>
          <w:sz w:val="20"/>
          <w:szCs w:val="20"/>
          <w:lang w:val="en-GB"/>
        </w:rPr>
        <w:t>:</w:t>
      </w:r>
      <w:r w:rsidRPr="008E07B3">
        <w:rPr>
          <w:i w:val="0"/>
          <w:sz w:val="20"/>
          <w:szCs w:val="20"/>
          <w:lang w:val="en-GB"/>
        </w:rPr>
        <w:t xml:space="preserve"> </w:t>
      </w:r>
      <w:r w:rsidR="00165A48">
        <w:rPr>
          <w:i w:val="0"/>
          <w:sz w:val="20"/>
          <w:szCs w:val="20"/>
          <w:lang w:val="en-GB"/>
        </w:rPr>
        <w:t xml:space="preserve">Our </w:t>
      </w:r>
      <w:r w:rsidR="00BD24CF">
        <w:rPr>
          <w:i w:val="0"/>
          <w:sz w:val="20"/>
          <w:szCs w:val="20"/>
          <w:lang w:val="en-GB"/>
        </w:rPr>
        <w:t xml:space="preserve">strategic </w:t>
      </w:r>
      <w:r w:rsidRPr="008E07B3">
        <w:rPr>
          <w:i w:val="0"/>
          <w:sz w:val="20"/>
          <w:szCs w:val="20"/>
          <w:lang w:val="en-GB"/>
        </w:rPr>
        <w:t>priorities</w:t>
      </w:r>
      <w:r w:rsidR="00BD24CF">
        <w:rPr>
          <w:i w:val="0"/>
          <w:sz w:val="20"/>
          <w:szCs w:val="20"/>
          <w:lang w:val="en-GB"/>
        </w:rPr>
        <w:t xml:space="preserve"> (the 4Rs)</w:t>
      </w:r>
    </w:p>
    <w:p w14:paraId="086C6139" w14:textId="77777777" w:rsidR="00AC3018" w:rsidRPr="007F12FB" w:rsidRDefault="00AC3018" w:rsidP="00D675DA">
      <w:r>
        <w:rPr>
          <w:noProof/>
        </w:rPr>
        <w:drawing>
          <wp:inline distT="0" distB="0" distL="0" distR="0" wp14:anchorId="5781214D" wp14:editId="5A0AB04A">
            <wp:extent cx="5486400" cy="2854518"/>
            <wp:effectExtent l="38100" t="0" r="38100" b="3175"/>
            <wp:docPr id="132680681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88C2E07" w14:textId="77777777" w:rsidR="00E85EDE" w:rsidRDefault="00E85EDE" w:rsidP="001F2C5D">
      <w:pPr>
        <w:spacing w:before="160"/>
        <w:rPr>
          <w:b/>
          <w:bCs/>
        </w:rPr>
      </w:pPr>
    </w:p>
    <w:p w14:paraId="671C8169" w14:textId="2247D391" w:rsidR="007C3CBF" w:rsidRDefault="007C3CBF" w:rsidP="001F2C5D">
      <w:pPr>
        <w:spacing w:before="160"/>
      </w:pPr>
      <w:r w:rsidRPr="00956F8E">
        <w:rPr>
          <w:b/>
          <w:bCs/>
        </w:rPr>
        <w:lastRenderedPageBreak/>
        <w:t>Resilience</w:t>
      </w:r>
      <w:r>
        <w:t xml:space="preserve"> – </w:t>
      </w:r>
      <w:r w:rsidR="00C53D69">
        <w:t>these</w:t>
      </w:r>
      <w:r w:rsidR="000C6BA5">
        <w:t xml:space="preserve"> </w:t>
      </w:r>
      <w:r w:rsidR="00CE2F0F">
        <w:t>activities</w:t>
      </w:r>
      <w:r>
        <w:t xml:space="preserve"> </w:t>
      </w:r>
      <w:r w:rsidR="00796320">
        <w:t>deepen</w:t>
      </w:r>
      <w:r w:rsidR="00D105D9">
        <w:t xml:space="preserve"> our</w:t>
      </w:r>
      <w:r w:rsidR="00073541">
        <w:t xml:space="preserve"> </w:t>
      </w:r>
      <w:r w:rsidR="00F54C42">
        <w:t>under</w:t>
      </w:r>
      <w:r w:rsidR="007A7829">
        <w:t xml:space="preserve">standing </w:t>
      </w:r>
      <w:r w:rsidR="00D105D9">
        <w:t xml:space="preserve">of </w:t>
      </w:r>
      <w:r w:rsidR="00040860">
        <w:t xml:space="preserve">the financial implications of </w:t>
      </w:r>
      <w:r w:rsidR="00901AE7">
        <w:t>natural hazards</w:t>
      </w:r>
      <w:r w:rsidR="008D073B">
        <w:t xml:space="preserve"> and how these can be mitigated</w:t>
      </w:r>
      <w:r w:rsidR="00E20CCE">
        <w:t>.</w:t>
      </w:r>
      <w:r w:rsidR="00E7278B">
        <w:t xml:space="preserve"> </w:t>
      </w:r>
      <w:r w:rsidR="00D61C00">
        <w:t>E</w:t>
      </w:r>
      <w:r w:rsidR="00E7278B">
        <w:t>xample</w:t>
      </w:r>
      <w:r w:rsidR="00D61C00">
        <w:t>s include</w:t>
      </w:r>
      <w:r w:rsidR="00901AE7">
        <w:t xml:space="preserve"> </w:t>
      </w:r>
      <w:r w:rsidR="006F1E21">
        <w:t>better</w:t>
      </w:r>
      <w:r w:rsidR="00901AE7">
        <w:t xml:space="preserve"> </w:t>
      </w:r>
      <w:r w:rsidR="005F33BA">
        <w:t>loss modelling</w:t>
      </w:r>
      <w:r w:rsidR="004A7B4E">
        <w:t xml:space="preserve"> for the </w:t>
      </w:r>
      <w:r w:rsidR="00A81D72">
        <w:t xml:space="preserve">natural hazards </w:t>
      </w:r>
      <w:r w:rsidR="004A7B4E">
        <w:t xml:space="preserve">the </w:t>
      </w:r>
      <w:r w:rsidR="009204C4">
        <w:t xml:space="preserve">NHI </w:t>
      </w:r>
      <w:r w:rsidR="00165A48">
        <w:t>s</w:t>
      </w:r>
      <w:r w:rsidR="004A7B4E">
        <w:t>cheme covers</w:t>
      </w:r>
      <w:r w:rsidR="00C67A6F">
        <w:t>,</w:t>
      </w:r>
      <w:r w:rsidR="005E3115">
        <w:t xml:space="preserve"> and </w:t>
      </w:r>
      <w:r w:rsidR="00792705">
        <w:t xml:space="preserve">submissions to local governments on </w:t>
      </w:r>
      <w:r w:rsidR="002262DF">
        <w:t xml:space="preserve">the natural hazard implications of </w:t>
      </w:r>
      <w:r w:rsidR="00792705">
        <w:t xml:space="preserve">planning </w:t>
      </w:r>
      <w:r w:rsidR="002262DF">
        <w:t>decisions</w:t>
      </w:r>
      <w:r w:rsidR="002F7E90">
        <w:t xml:space="preserve">. </w:t>
      </w:r>
      <w:r w:rsidR="00F079E1">
        <w:t xml:space="preserve">Loss modelling </w:t>
      </w:r>
      <w:r w:rsidR="00425EA6">
        <w:t xml:space="preserve">allows us to </w:t>
      </w:r>
      <w:r w:rsidR="006311AD">
        <w:t xml:space="preserve">better model the possible financial </w:t>
      </w:r>
      <w:r w:rsidR="00173664">
        <w:t xml:space="preserve">outcomes for the </w:t>
      </w:r>
      <w:r w:rsidR="009204C4">
        <w:t xml:space="preserve">NHI </w:t>
      </w:r>
      <w:r w:rsidR="00165A48">
        <w:t>s</w:t>
      </w:r>
      <w:r w:rsidR="00173664">
        <w:t xml:space="preserve">cheme and consider how we will </w:t>
      </w:r>
      <w:r w:rsidR="00FE7C13">
        <w:t xml:space="preserve">design an </w:t>
      </w:r>
      <w:r w:rsidR="007E6439">
        <w:t>effective risk financing response.</w:t>
      </w:r>
      <w:r w:rsidR="00F079E1">
        <w:t xml:space="preserve"> </w:t>
      </w:r>
      <w:r w:rsidR="0034572C">
        <w:t>S</w:t>
      </w:r>
      <w:r w:rsidR="00677C9C">
        <w:t>upporting</w:t>
      </w:r>
      <w:r w:rsidR="00F079E1">
        <w:t xml:space="preserve"> </w:t>
      </w:r>
      <w:r w:rsidR="00677C9C">
        <w:t xml:space="preserve">local and central government </w:t>
      </w:r>
      <w:r w:rsidR="004E0F3F">
        <w:t xml:space="preserve">to </w:t>
      </w:r>
      <w:r w:rsidR="00677C9C">
        <w:t xml:space="preserve">understand </w:t>
      </w:r>
      <w:r w:rsidR="00F64E86">
        <w:t xml:space="preserve">natural hazards implications enables </w:t>
      </w:r>
      <w:r w:rsidR="00677C9C">
        <w:t xml:space="preserve">better </w:t>
      </w:r>
      <w:r w:rsidR="00F079E1">
        <w:t xml:space="preserve">planning </w:t>
      </w:r>
      <w:r w:rsidR="00677C9C">
        <w:t>decisions</w:t>
      </w:r>
      <w:r w:rsidR="0034572C">
        <w:t>,</w:t>
      </w:r>
      <w:r w:rsidR="00677C9C">
        <w:t xml:space="preserve"> </w:t>
      </w:r>
      <w:r w:rsidR="00F079E1">
        <w:t>help</w:t>
      </w:r>
      <w:r w:rsidR="0034572C">
        <w:t>ing to</w:t>
      </w:r>
      <w:r w:rsidR="00F079E1">
        <w:t xml:space="preserve"> manage the financial liabil</w:t>
      </w:r>
      <w:r w:rsidR="00677C9C">
        <w:t xml:space="preserve">ities of the </w:t>
      </w:r>
      <w:r w:rsidR="009204C4">
        <w:t xml:space="preserve">NHI </w:t>
      </w:r>
      <w:r w:rsidR="00165A48">
        <w:t>s</w:t>
      </w:r>
      <w:r w:rsidR="00677C9C">
        <w:t xml:space="preserve">cheme. </w:t>
      </w:r>
    </w:p>
    <w:p w14:paraId="4DA34DEE" w14:textId="5F9FE1FE" w:rsidR="007E6439" w:rsidRDefault="007E6439" w:rsidP="005D3429">
      <w:r w:rsidRPr="00956F8E">
        <w:rPr>
          <w:b/>
          <w:bCs/>
        </w:rPr>
        <w:t>Readiness</w:t>
      </w:r>
      <w:r>
        <w:t xml:space="preserve"> </w:t>
      </w:r>
      <w:r w:rsidR="00F07B70">
        <w:t>–</w:t>
      </w:r>
      <w:r>
        <w:t xml:space="preserve"> </w:t>
      </w:r>
      <w:r w:rsidR="008968DB">
        <w:t xml:space="preserve">the </w:t>
      </w:r>
      <w:r w:rsidR="009204C4">
        <w:t xml:space="preserve">NHI </w:t>
      </w:r>
      <w:r w:rsidR="00165A48">
        <w:t>s</w:t>
      </w:r>
      <w:r w:rsidR="008968DB">
        <w:t>cheme</w:t>
      </w:r>
      <w:r w:rsidR="000C6F43">
        <w:t xml:space="preserve"> was able to </w:t>
      </w:r>
      <w:r w:rsidR="00600F9E">
        <w:t xml:space="preserve">largely </w:t>
      </w:r>
      <w:r w:rsidR="00FC0F66">
        <w:t xml:space="preserve">cover </w:t>
      </w:r>
      <w:r w:rsidR="00050978">
        <w:t>approximately</w:t>
      </w:r>
      <w:r w:rsidR="008968DB">
        <w:t xml:space="preserve"> $</w:t>
      </w:r>
      <w:r w:rsidR="0096437E">
        <w:t>13</w:t>
      </w:r>
      <w:r w:rsidR="008968DB">
        <w:t xml:space="preserve"> billion of costs from the 2010-2011 Canterbury </w:t>
      </w:r>
      <w:r w:rsidR="00CA15E1">
        <w:t>e</w:t>
      </w:r>
      <w:r w:rsidR="008968DB">
        <w:t>arthquake</w:t>
      </w:r>
      <w:r w:rsidR="00CA15E1">
        <w:t xml:space="preserve"> se</w:t>
      </w:r>
      <w:r w:rsidR="00CC7F84">
        <w:t>quence</w:t>
      </w:r>
      <w:r w:rsidR="008968DB">
        <w:t xml:space="preserve"> through a combination of </w:t>
      </w:r>
      <w:r w:rsidR="009D193D">
        <w:t xml:space="preserve">money in the </w:t>
      </w:r>
      <w:r w:rsidR="007347DC">
        <w:t xml:space="preserve">NHF </w:t>
      </w:r>
      <w:r w:rsidR="009D193D">
        <w:t>and its</w:t>
      </w:r>
      <w:r w:rsidR="009B4E31">
        <w:t xml:space="preserve"> traditional </w:t>
      </w:r>
      <w:r w:rsidR="009D193D">
        <w:t>reinsurance programme. It is important to under</w:t>
      </w:r>
      <w:r w:rsidR="00685C35">
        <w:t xml:space="preserve">stand </w:t>
      </w:r>
      <w:r w:rsidR="00C51DFC">
        <w:t xml:space="preserve">how financially prepared the </w:t>
      </w:r>
      <w:r w:rsidR="009204C4">
        <w:t xml:space="preserve">NHI </w:t>
      </w:r>
      <w:r w:rsidR="0065685F">
        <w:t>s</w:t>
      </w:r>
      <w:r w:rsidR="00C51DFC">
        <w:t xml:space="preserve">cheme is </w:t>
      </w:r>
      <w:r w:rsidR="00600F9E">
        <w:t xml:space="preserve">to </w:t>
      </w:r>
      <w:r w:rsidR="00BA2D15">
        <w:t>cover possible significant events</w:t>
      </w:r>
      <w:r w:rsidR="00524175">
        <w:t xml:space="preserve"> and to </w:t>
      </w:r>
      <w:r w:rsidR="006E18AC">
        <w:t>communicate</w:t>
      </w:r>
      <w:r w:rsidR="00524175">
        <w:t xml:space="preserve"> this</w:t>
      </w:r>
      <w:r w:rsidR="006E18AC">
        <w:t xml:space="preserve"> to</w:t>
      </w:r>
      <w:r w:rsidR="00BA2D15">
        <w:t xml:space="preserve"> stakeholders, such as </w:t>
      </w:r>
      <w:r w:rsidR="00034345">
        <w:t>M</w:t>
      </w:r>
      <w:r w:rsidR="00BA2D15">
        <w:t>inisters</w:t>
      </w:r>
      <w:r w:rsidR="00E35485">
        <w:t>.</w:t>
      </w:r>
      <w:r w:rsidR="00BA2D15">
        <w:t xml:space="preserve"> </w:t>
      </w:r>
    </w:p>
    <w:p w14:paraId="32B90B96" w14:textId="4D5AC6FD" w:rsidR="006E18AC" w:rsidRDefault="006E18AC" w:rsidP="005D3429">
      <w:r w:rsidRPr="00956F8E">
        <w:rPr>
          <w:b/>
          <w:bCs/>
        </w:rPr>
        <w:t>Recovery</w:t>
      </w:r>
      <w:r>
        <w:t xml:space="preserve"> –</w:t>
      </w:r>
      <w:r w:rsidR="00926EAC">
        <w:t xml:space="preserve"> </w:t>
      </w:r>
      <w:r w:rsidR="00A167DC">
        <w:t>r</w:t>
      </w:r>
      <w:r w:rsidR="00926EAC">
        <w:t xml:space="preserve">isk </w:t>
      </w:r>
      <w:r w:rsidR="00A167DC">
        <w:t>f</w:t>
      </w:r>
      <w:r w:rsidR="00926EAC">
        <w:t xml:space="preserve">inancing supports financial recovery </w:t>
      </w:r>
      <w:r w:rsidR="00D867DD">
        <w:t xml:space="preserve">after </w:t>
      </w:r>
      <w:r w:rsidR="00656064">
        <w:t>an event</w:t>
      </w:r>
      <w:r w:rsidR="00820D86">
        <w:t xml:space="preserve">, </w:t>
      </w:r>
      <w:r w:rsidR="008030DE">
        <w:t xml:space="preserve">reducing the stresses </w:t>
      </w:r>
      <w:r w:rsidR="00D437CD">
        <w:t>on the</w:t>
      </w:r>
      <w:r w:rsidR="00BE1D4E">
        <w:t xml:space="preserve"> </w:t>
      </w:r>
      <w:r w:rsidR="009204C4">
        <w:t xml:space="preserve">NHI </w:t>
      </w:r>
      <w:r w:rsidR="0064725F">
        <w:t>s</w:t>
      </w:r>
      <w:r w:rsidR="00BE1D4E">
        <w:t>cheme and</w:t>
      </w:r>
      <w:r w:rsidR="00D437CD">
        <w:t xml:space="preserve"> broader Crown balance sheet. </w:t>
      </w:r>
      <w:r w:rsidR="005719CD">
        <w:t>Paying</w:t>
      </w:r>
      <w:r w:rsidR="00736040">
        <w:t xml:space="preserve"> claims </w:t>
      </w:r>
      <w:r w:rsidR="00991768">
        <w:t xml:space="preserve">helps to ensure </w:t>
      </w:r>
      <w:r w:rsidR="00872331">
        <w:t xml:space="preserve">homes </w:t>
      </w:r>
      <w:r w:rsidR="00072B47">
        <w:t>can</w:t>
      </w:r>
      <w:r w:rsidR="00872331">
        <w:t xml:space="preserve"> be repaired, supporting homeowners to recover from natural </w:t>
      </w:r>
      <w:r w:rsidR="000B2DDB">
        <w:t>hazards</w:t>
      </w:r>
      <w:r w:rsidR="00872331">
        <w:t>.</w:t>
      </w:r>
    </w:p>
    <w:p w14:paraId="41CD1512" w14:textId="39C1B757" w:rsidR="00673222" w:rsidRDefault="00961448" w:rsidP="00441603">
      <w:pPr>
        <w:pStyle w:val="Heading2"/>
        <w:rPr>
          <w:lang w:val="en-GB" w:eastAsia="en-GB" w:bidi="en-GB"/>
        </w:rPr>
      </w:pPr>
      <w:bookmarkStart w:id="24" w:name="_Toc199337441"/>
      <w:bookmarkStart w:id="25" w:name="_Toc231890645"/>
      <w:r>
        <w:rPr>
          <w:lang w:val="en-GB" w:eastAsia="en-GB" w:bidi="en-GB"/>
        </w:rPr>
        <w:t xml:space="preserve">Risk </w:t>
      </w:r>
      <w:r w:rsidR="009F6478">
        <w:rPr>
          <w:lang w:val="en-GB" w:eastAsia="en-GB" w:bidi="en-GB"/>
        </w:rPr>
        <w:t>f</w:t>
      </w:r>
      <w:r>
        <w:rPr>
          <w:lang w:val="en-GB" w:eastAsia="en-GB" w:bidi="en-GB"/>
        </w:rPr>
        <w:t xml:space="preserve">inancing </w:t>
      </w:r>
      <w:r w:rsidR="00900493">
        <w:rPr>
          <w:lang w:val="en-GB" w:eastAsia="en-GB" w:bidi="en-GB"/>
        </w:rPr>
        <w:t>strategic</w:t>
      </w:r>
      <w:r>
        <w:rPr>
          <w:lang w:val="en-GB" w:eastAsia="en-GB" w:bidi="en-GB"/>
        </w:rPr>
        <w:t xml:space="preserve"> </w:t>
      </w:r>
      <w:r w:rsidR="00F11A75">
        <w:rPr>
          <w:lang w:val="en-GB" w:eastAsia="en-GB" w:bidi="en-GB"/>
        </w:rPr>
        <w:t>priority</w:t>
      </w:r>
      <w:r w:rsidR="00CF3EC7">
        <w:rPr>
          <w:lang w:val="en-GB" w:eastAsia="en-GB" w:bidi="en-GB"/>
        </w:rPr>
        <w:t xml:space="preserve">, </w:t>
      </w:r>
      <w:r w:rsidR="008C2292">
        <w:rPr>
          <w:lang w:val="en-GB" w:eastAsia="en-GB" w:bidi="en-GB"/>
        </w:rPr>
        <w:t xml:space="preserve">goal and </w:t>
      </w:r>
      <w:r w:rsidR="00CF3EC7">
        <w:rPr>
          <w:lang w:val="en-GB" w:eastAsia="en-GB" w:bidi="en-GB"/>
        </w:rPr>
        <w:t>outcome</w:t>
      </w:r>
      <w:bookmarkEnd w:id="24"/>
      <w:bookmarkEnd w:id="25"/>
    </w:p>
    <w:p w14:paraId="18667C96" w14:textId="6DEA1DC3" w:rsidR="00CD7DF2" w:rsidRPr="008E07B3" w:rsidRDefault="00CD7DF2" w:rsidP="00CD7DF2">
      <w:pPr>
        <w:pStyle w:val="Caption"/>
        <w:keepNext/>
        <w:rPr>
          <w:i w:val="0"/>
          <w:sz w:val="20"/>
          <w:szCs w:val="20"/>
        </w:rPr>
      </w:pPr>
      <w:r w:rsidRPr="008E07B3">
        <w:rPr>
          <w:i w:val="0"/>
          <w:sz w:val="20"/>
          <w:szCs w:val="20"/>
        </w:rPr>
        <w:t xml:space="preserve">Figure </w:t>
      </w:r>
      <w:r w:rsidR="00516BEA">
        <w:rPr>
          <w:i w:val="0"/>
          <w:sz w:val="20"/>
          <w:szCs w:val="20"/>
        </w:rPr>
        <w:t>3</w:t>
      </w:r>
      <w:r>
        <w:rPr>
          <w:i w:val="0"/>
          <w:sz w:val="20"/>
          <w:szCs w:val="20"/>
          <w:lang w:val="en-GB"/>
        </w:rPr>
        <w:t>:</w:t>
      </w:r>
      <w:r w:rsidRPr="008E07B3">
        <w:rPr>
          <w:i w:val="0"/>
          <w:sz w:val="20"/>
          <w:szCs w:val="20"/>
          <w:lang w:val="en-GB"/>
        </w:rPr>
        <w:t xml:space="preserve"> </w:t>
      </w:r>
      <w:r w:rsidR="00516BEA">
        <w:rPr>
          <w:i w:val="0"/>
          <w:sz w:val="20"/>
          <w:szCs w:val="20"/>
          <w:lang w:val="en-GB"/>
        </w:rPr>
        <w:t xml:space="preserve">Our </w:t>
      </w:r>
      <w:r w:rsidR="0097748D">
        <w:rPr>
          <w:i w:val="0"/>
          <w:sz w:val="20"/>
          <w:szCs w:val="20"/>
          <w:lang w:val="en-GB"/>
        </w:rPr>
        <w:t>risk financing strategic priority, goal and outcome</w:t>
      </w:r>
    </w:p>
    <w:p w14:paraId="6CB1A353" w14:textId="77777777" w:rsidR="00CD7DF2" w:rsidRPr="00CD7DF2" w:rsidRDefault="00CD7DF2" w:rsidP="00D73EC7">
      <w:pPr>
        <w:rPr>
          <w:lang w:val="en-GB" w:eastAsia="en-GB" w:bidi="en-GB"/>
        </w:rPr>
      </w:pPr>
    </w:p>
    <w:p w14:paraId="2DA97188" w14:textId="38FF6566" w:rsidR="005A3C42" w:rsidRDefault="00D86844" w:rsidP="001927BC">
      <w:pPr>
        <w:jc w:val="center"/>
      </w:pPr>
      <w:r>
        <w:rPr>
          <w:noProof/>
        </w:rPr>
        <w:drawing>
          <wp:inline distT="0" distB="0" distL="0" distR="0" wp14:anchorId="3729C6A7" wp14:editId="229D6B6A">
            <wp:extent cx="5041900" cy="3054350"/>
            <wp:effectExtent l="0" t="0" r="6350" b="0"/>
            <wp:docPr id="17247846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4261F197" w14:textId="43B6ABC4" w:rsidR="009A3841" w:rsidRDefault="00C006B4" w:rsidP="00D675DA">
      <w:r>
        <w:t>W</w:t>
      </w:r>
      <w:r w:rsidR="00AD064F">
        <w:t>e</w:t>
      </w:r>
      <w:r>
        <w:t xml:space="preserve"> achiev</w:t>
      </w:r>
      <w:r w:rsidR="00094304">
        <w:t>e</w:t>
      </w:r>
      <w:r>
        <w:t xml:space="preserve"> </w:t>
      </w:r>
      <w:r w:rsidR="006E36FB">
        <w:t xml:space="preserve">this </w:t>
      </w:r>
      <w:r>
        <w:t xml:space="preserve">outcome </w:t>
      </w:r>
      <w:r w:rsidR="00AD064F">
        <w:t>by</w:t>
      </w:r>
      <w:r w:rsidR="00695C16">
        <w:t xml:space="preserve"> </w:t>
      </w:r>
      <w:r w:rsidR="00A22D9F" w:rsidRPr="00695C16">
        <w:t>ensuri</w:t>
      </w:r>
      <w:r w:rsidR="00A22D9F">
        <w:t>ng</w:t>
      </w:r>
      <w:r w:rsidR="00695C16" w:rsidRPr="00695C16">
        <w:t xml:space="preserve"> </w:t>
      </w:r>
      <w:r w:rsidR="00735BE8">
        <w:t>we have</w:t>
      </w:r>
      <w:r w:rsidR="00695C16" w:rsidRPr="00695C16">
        <w:t xml:space="preserve"> a robust risk financing framework in place</w:t>
      </w:r>
      <w:r w:rsidR="000D5E70">
        <w:t>,</w:t>
      </w:r>
      <w:r w:rsidR="00A15323">
        <w:t xml:space="preserve"> </w:t>
      </w:r>
      <w:r w:rsidR="00A15323" w:rsidRPr="00A15323">
        <w:t>us</w:t>
      </w:r>
      <w:r w:rsidR="00A15323">
        <w:t>ing</w:t>
      </w:r>
      <w:r w:rsidR="00A15323" w:rsidRPr="00A15323">
        <w:t xml:space="preserve"> our risk financing expertise to manage the fiscal risks of providing natural hazards insurance cover</w:t>
      </w:r>
      <w:r w:rsidR="00AD064F">
        <w:t>.</w:t>
      </w:r>
      <w:r w:rsidR="00192EBC">
        <w:t xml:space="preserve"> </w:t>
      </w:r>
      <w:r w:rsidR="009A3841">
        <w:t xml:space="preserve">Over time, </w:t>
      </w:r>
      <w:r w:rsidR="00735BE8">
        <w:t>we are</w:t>
      </w:r>
      <w:r w:rsidR="009A3841">
        <w:t xml:space="preserve"> looking to build the financial position of the </w:t>
      </w:r>
      <w:r w:rsidR="009204C4">
        <w:t xml:space="preserve">NHI </w:t>
      </w:r>
      <w:r w:rsidR="009A3841">
        <w:t>scheme</w:t>
      </w:r>
      <w:r w:rsidR="004D0186">
        <w:t>.</w:t>
      </w:r>
    </w:p>
    <w:p w14:paraId="6DF6CFB0" w14:textId="2BFD002E" w:rsidR="00AD064F" w:rsidRDefault="00192EBC" w:rsidP="00D675DA">
      <w:r>
        <w:t xml:space="preserve">The strategy outlines how </w:t>
      </w:r>
      <w:r w:rsidR="00292EFF">
        <w:t xml:space="preserve">we </w:t>
      </w:r>
      <w:r>
        <w:t>will achieve</w:t>
      </w:r>
      <w:r w:rsidR="00292EFF">
        <w:t xml:space="preserve"> this</w:t>
      </w:r>
      <w:r>
        <w:t>.</w:t>
      </w:r>
    </w:p>
    <w:p w14:paraId="79CCBF61" w14:textId="7C432255" w:rsidR="008F04DD" w:rsidRPr="008F04DD" w:rsidRDefault="00FF3629" w:rsidP="00D675DA">
      <w:r>
        <w:lastRenderedPageBreak/>
        <w:t>W</w:t>
      </w:r>
      <w:r w:rsidR="006E2F66">
        <w:t>e</w:t>
      </w:r>
      <w:r w:rsidR="00720B80">
        <w:t xml:space="preserve"> </w:t>
      </w:r>
      <w:r w:rsidR="008F04DD" w:rsidRPr="008F04DD">
        <w:t xml:space="preserve">receive </w:t>
      </w:r>
      <w:r w:rsidR="00025374">
        <w:t xml:space="preserve">NHI </w:t>
      </w:r>
      <w:r w:rsidR="008F04DD" w:rsidRPr="008F04DD">
        <w:t>levies from homeowners taking</w:t>
      </w:r>
      <w:r w:rsidR="00720B80">
        <w:t xml:space="preserve"> </w:t>
      </w:r>
      <w:r w:rsidR="008F04DD" w:rsidRPr="008F04DD">
        <w:t>out residential property insurance. These</w:t>
      </w:r>
      <w:r w:rsidR="00720B80">
        <w:t xml:space="preserve"> </w:t>
      </w:r>
      <w:r w:rsidR="008F04DD" w:rsidRPr="008F04DD">
        <w:t xml:space="preserve">levies fund </w:t>
      </w:r>
      <w:r w:rsidR="00310860">
        <w:t>our</w:t>
      </w:r>
      <w:r w:rsidR="008F04DD" w:rsidRPr="008F04DD">
        <w:t xml:space="preserve"> expenses</w:t>
      </w:r>
      <w:r w:rsidR="00720B80">
        <w:t xml:space="preserve"> </w:t>
      </w:r>
      <w:r w:rsidR="008F04DD" w:rsidRPr="008F04DD">
        <w:t xml:space="preserve">and </w:t>
      </w:r>
      <w:r w:rsidR="00F673F9">
        <w:t xml:space="preserve">claim </w:t>
      </w:r>
      <w:r w:rsidR="008F04DD" w:rsidRPr="008F04DD">
        <w:t xml:space="preserve">liabilities, </w:t>
      </w:r>
      <w:r w:rsidR="00F42E6D">
        <w:t>and</w:t>
      </w:r>
      <w:r w:rsidR="00F42E6D" w:rsidRPr="008F04DD">
        <w:t xml:space="preserve"> </w:t>
      </w:r>
      <w:r w:rsidR="008F04DD" w:rsidRPr="008F04DD">
        <w:t xml:space="preserve">any surplus </w:t>
      </w:r>
      <w:r w:rsidR="00F42E6D">
        <w:t xml:space="preserve">is </w:t>
      </w:r>
      <w:r w:rsidR="008F04DD" w:rsidRPr="008F04DD">
        <w:t>retained</w:t>
      </w:r>
      <w:r w:rsidR="00720B80">
        <w:t xml:space="preserve"> </w:t>
      </w:r>
      <w:r w:rsidR="008F04DD" w:rsidRPr="008F04DD">
        <w:t xml:space="preserve">in the </w:t>
      </w:r>
      <w:r w:rsidR="00203C7E">
        <w:t>NHF</w:t>
      </w:r>
      <w:r w:rsidR="008F04DD" w:rsidRPr="008F04DD">
        <w:t xml:space="preserve">. If the </w:t>
      </w:r>
      <w:r w:rsidR="00E02CE9">
        <w:t>NHF</w:t>
      </w:r>
      <w:r w:rsidR="008F04DD" w:rsidRPr="008F04DD">
        <w:t xml:space="preserve"> </w:t>
      </w:r>
      <w:r w:rsidR="008878D2">
        <w:t>cannot</w:t>
      </w:r>
      <w:r w:rsidR="008F04DD" w:rsidRPr="008F04DD">
        <w:t xml:space="preserve"> meet the</w:t>
      </w:r>
      <w:r>
        <w:t>se</w:t>
      </w:r>
      <w:r w:rsidR="005039B3">
        <w:t xml:space="preserve"> </w:t>
      </w:r>
      <w:r w:rsidR="008F04DD" w:rsidRPr="008F04DD">
        <w:t>costs, the Government will provide</w:t>
      </w:r>
      <w:r w:rsidR="005039B3">
        <w:t xml:space="preserve"> </w:t>
      </w:r>
      <w:r w:rsidR="008F04DD" w:rsidRPr="008F04DD">
        <w:t>funding to ensure all payments</w:t>
      </w:r>
      <w:r w:rsidR="005039B3">
        <w:t xml:space="preserve"> </w:t>
      </w:r>
      <w:r w:rsidR="008F04DD" w:rsidRPr="008F04DD">
        <w:t>can be made.</w:t>
      </w:r>
    </w:p>
    <w:p w14:paraId="3203E61F" w14:textId="076794D4" w:rsidR="008F04DD" w:rsidRPr="008F04DD" w:rsidRDefault="003341A0" w:rsidP="00D675DA">
      <w:r>
        <w:t>This</w:t>
      </w:r>
      <w:r w:rsidR="008F04DD" w:rsidRPr="008F04DD">
        <w:t xml:space="preserve"> </w:t>
      </w:r>
      <w:r w:rsidR="00B73007">
        <w:t>first</w:t>
      </w:r>
      <w:r w:rsidR="00C338BD">
        <w:t>-</w:t>
      </w:r>
      <w:r w:rsidR="00B73007">
        <w:t xml:space="preserve">loss </w:t>
      </w:r>
      <w:r w:rsidR="008F04DD" w:rsidRPr="008F04DD">
        <w:t>natural hazards</w:t>
      </w:r>
      <w:r w:rsidR="005039B3">
        <w:t xml:space="preserve"> </w:t>
      </w:r>
      <w:r w:rsidR="008F04DD" w:rsidRPr="008F04DD">
        <w:t>scheme, with its community-rated levy,</w:t>
      </w:r>
      <w:r w:rsidR="005039B3">
        <w:t xml:space="preserve"> </w:t>
      </w:r>
      <w:r w:rsidR="008F04DD" w:rsidRPr="008F04DD">
        <w:t>reduces the level of natural hazard risk</w:t>
      </w:r>
      <w:r w:rsidR="005039B3">
        <w:t xml:space="preserve"> </w:t>
      </w:r>
      <w:r w:rsidR="008F04DD" w:rsidRPr="008F04DD">
        <w:t>that the private insurance market needs</w:t>
      </w:r>
      <w:r w:rsidR="005039B3">
        <w:t xml:space="preserve"> </w:t>
      </w:r>
      <w:r w:rsidR="008F04DD" w:rsidRPr="008F04DD">
        <w:t>to provide cover for. It also provides</w:t>
      </w:r>
      <w:r w:rsidR="005039B3">
        <w:t xml:space="preserve"> </w:t>
      </w:r>
      <w:r w:rsidR="008F04DD" w:rsidRPr="008F04DD">
        <w:t>homeowners and the Government with an</w:t>
      </w:r>
      <w:r w:rsidR="005039B3">
        <w:t xml:space="preserve"> </w:t>
      </w:r>
      <w:r w:rsidR="008F04DD" w:rsidRPr="008F04DD">
        <w:t>accessible, sustainable way to help manage</w:t>
      </w:r>
      <w:r w:rsidR="005039B3">
        <w:t xml:space="preserve"> </w:t>
      </w:r>
      <w:r w:rsidR="008F04DD" w:rsidRPr="008F04DD">
        <w:t>the financial impacts of the natural hazard</w:t>
      </w:r>
      <w:r w:rsidR="005039B3">
        <w:t xml:space="preserve"> </w:t>
      </w:r>
      <w:r w:rsidR="008F04DD" w:rsidRPr="008F04DD">
        <w:t>risks we face in New Zealand.</w:t>
      </w:r>
      <w:r w:rsidR="00FF1819">
        <w:t xml:space="preserve"> </w:t>
      </w:r>
    </w:p>
    <w:p w14:paraId="6FDC9157" w14:textId="531DF2E3" w:rsidR="001B354B" w:rsidRPr="00B07399" w:rsidRDefault="001B354B" w:rsidP="002049ED">
      <w:pPr>
        <w:pStyle w:val="Heading1"/>
      </w:pPr>
      <w:bookmarkStart w:id="26" w:name="_Toc197435981"/>
      <w:bookmarkStart w:id="27" w:name="_Toc199337444"/>
      <w:bookmarkStart w:id="28" w:name="_Toc231890646"/>
      <w:r>
        <w:t>Our current position</w:t>
      </w:r>
      <w:bookmarkEnd w:id="26"/>
      <w:r w:rsidR="00BA2B91">
        <w:t xml:space="preserve">, </w:t>
      </w:r>
      <w:r w:rsidR="009A36AE">
        <w:t xml:space="preserve">challenges </w:t>
      </w:r>
      <w:r w:rsidR="00BA2B91">
        <w:t>and opportunities</w:t>
      </w:r>
      <w:bookmarkEnd w:id="27"/>
      <w:bookmarkEnd w:id="28"/>
    </w:p>
    <w:p w14:paraId="4977365F" w14:textId="22C8A957" w:rsidR="00302DFF" w:rsidRPr="007E07C2" w:rsidRDefault="00302DFF" w:rsidP="007E07C2">
      <w:pPr>
        <w:pStyle w:val="Heading2"/>
        <w:rPr>
          <w:color w:val="262626" w:themeColor="text2" w:themeTint="D9"/>
          <w:sz w:val="24"/>
          <w:szCs w:val="24"/>
        </w:rPr>
      </w:pPr>
      <w:bookmarkStart w:id="29" w:name="_Toc199337445"/>
      <w:bookmarkStart w:id="30" w:name="_Toc231890647"/>
      <w:r>
        <w:t xml:space="preserve">Our </w:t>
      </w:r>
      <w:r w:rsidR="00AB198D">
        <w:t>current</w:t>
      </w:r>
      <w:r w:rsidR="005940D0">
        <w:t xml:space="preserve"> position</w:t>
      </w:r>
      <w:bookmarkEnd w:id="29"/>
      <w:bookmarkEnd w:id="30"/>
    </w:p>
    <w:p w14:paraId="71F32ACB" w14:textId="38D13948" w:rsidR="000D6655" w:rsidRPr="009671F9" w:rsidRDefault="00EA6B7B" w:rsidP="00E5304E">
      <w:pPr>
        <w:spacing w:after="120"/>
      </w:pPr>
      <w:r>
        <w:t>We are</w:t>
      </w:r>
      <w:r w:rsidR="003F524A">
        <w:t xml:space="preserve"> in</w:t>
      </w:r>
      <w:r w:rsidR="00765661" w:rsidRPr="00FB4526">
        <w:t xml:space="preserve"> </w:t>
      </w:r>
      <w:r w:rsidR="000D6655" w:rsidRPr="00FB4526">
        <w:t xml:space="preserve">a </w:t>
      </w:r>
      <w:r w:rsidR="00AD559A" w:rsidRPr="00FB4526">
        <w:t>strong</w:t>
      </w:r>
      <w:r w:rsidR="000D6655" w:rsidRPr="00FB4526">
        <w:t xml:space="preserve"> position to </w:t>
      </w:r>
      <w:r w:rsidR="001E5952" w:rsidRPr="00FB4526">
        <w:t xml:space="preserve">achieve our </w:t>
      </w:r>
      <w:r w:rsidR="00765661" w:rsidRPr="00FB4526">
        <w:t>r</w:t>
      </w:r>
      <w:r w:rsidR="00080DEE" w:rsidRPr="00FB4526">
        <w:t xml:space="preserve">isk </w:t>
      </w:r>
      <w:r w:rsidR="00765661" w:rsidRPr="00FB4526">
        <w:t>f</w:t>
      </w:r>
      <w:r w:rsidR="00080DEE" w:rsidRPr="00FB4526">
        <w:t xml:space="preserve">inancing </w:t>
      </w:r>
      <w:r w:rsidR="001E5952" w:rsidRPr="00FB4526">
        <w:t>strategic</w:t>
      </w:r>
      <w:r w:rsidR="00080DEE" w:rsidRPr="00FB4526">
        <w:t xml:space="preserve"> priority </w:t>
      </w:r>
      <w:r w:rsidR="009D226B" w:rsidRPr="00FB4526">
        <w:t xml:space="preserve">– </w:t>
      </w:r>
      <w:r w:rsidR="00080DEE" w:rsidRPr="00FB4526">
        <w:t>‘We use our risk financing expertise to manage the fiscal risks of providing natural hazards insurance cover’</w:t>
      </w:r>
      <w:r w:rsidR="005326AD">
        <w:t xml:space="preserve">; </w:t>
      </w:r>
      <w:r w:rsidR="005326AD" w:rsidRPr="009671F9">
        <w:t>however</w:t>
      </w:r>
      <w:r w:rsidR="00B14963" w:rsidRPr="009671F9">
        <w:t xml:space="preserve">, there are </w:t>
      </w:r>
      <w:r w:rsidR="00CE39CD" w:rsidRPr="009671F9">
        <w:t xml:space="preserve">challenges </w:t>
      </w:r>
      <w:r w:rsidR="00507C1A" w:rsidRPr="009671F9">
        <w:t>to understand and manage</w:t>
      </w:r>
      <w:r w:rsidR="00B14963" w:rsidRPr="009671F9">
        <w:t>.</w:t>
      </w:r>
    </w:p>
    <w:p w14:paraId="5949A97A" w14:textId="267FF8A8" w:rsidR="001C78E0" w:rsidRPr="009671F9" w:rsidRDefault="00AE42CC" w:rsidP="001C78E0">
      <w:r w:rsidRPr="009671F9">
        <w:t>W</w:t>
      </w:r>
      <w:r w:rsidR="001C78E0" w:rsidRPr="009671F9">
        <w:t xml:space="preserve">ork undertaken </w:t>
      </w:r>
      <w:r w:rsidRPr="009671F9">
        <w:t xml:space="preserve">in 2025 </w:t>
      </w:r>
      <w:r w:rsidR="001C78E0" w:rsidRPr="009671F9">
        <w:t xml:space="preserve">to support </w:t>
      </w:r>
      <w:r w:rsidR="00E64624" w:rsidRPr="009671F9">
        <w:t>the FRMS</w:t>
      </w:r>
      <w:r w:rsidR="203E92CC" w:rsidRPr="009671F9">
        <w:t xml:space="preserve"> </w:t>
      </w:r>
      <w:r w:rsidR="25B4A66A" w:rsidRPr="009671F9">
        <w:t xml:space="preserve">around levy adequacy </w:t>
      </w:r>
      <w:r w:rsidR="001C78E0" w:rsidRPr="009671F9" w:rsidDel="001C4677">
        <w:t xml:space="preserve">has </w:t>
      </w:r>
      <w:r w:rsidR="001C4677" w:rsidRPr="009671F9">
        <w:t xml:space="preserve">helped </w:t>
      </w:r>
      <w:r w:rsidR="001C78E0" w:rsidRPr="009671F9">
        <w:t xml:space="preserve">mature our thinking and understanding around risk financing. The FRMS has supported increased engagement from the Treasury and provided a good understanding of financial risks to the </w:t>
      </w:r>
      <w:r w:rsidR="008D532C" w:rsidRPr="009671F9">
        <w:t xml:space="preserve">NHI </w:t>
      </w:r>
      <w:r w:rsidR="00591277" w:rsidRPr="009671F9">
        <w:t>s</w:t>
      </w:r>
      <w:r w:rsidR="001C78E0" w:rsidRPr="009671F9">
        <w:t>cheme.</w:t>
      </w:r>
      <w:r w:rsidR="00067627" w:rsidRPr="009671F9">
        <w:t xml:space="preserve"> The work indicated that the current levy rate is below the rate to cover the modelled long-term costs of the </w:t>
      </w:r>
      <w:r w:rsidR="008D532C" w:rsidRPr="009671F9">
        <w:t>NHI s</w:t>
      </w:r>
      <w:r w:rsidR="00067627" w:rsidRPr="009671F9">
        <w:t>cheme.</w:t>
      </w:r>
    </w:p>
    <w:p w14:paraId="0B2E5201" w14:textId="1FDA0C3F" w:rsidR="00067627" w:rsidRPr="00DF6361" w:rsidRDefault="00067627" w:rsidP="00067627">
      <w:r w:rsidRPr="009671F9">
        <w:t xml:space="preserve">In </w:t>
      </w:r>
      <w:r w:rsidR="00E85CA8" w:rsidRPr="009671F9">
        <w:t xml:space="preserve">late 2025 the Minister of Finance paused </w:t>
      </w:r>
      <w:r w:rsidR="00E64624" w:rsidRPr="009671F9">
        <w:t>the work</w:t>
      </w:r>
      <w:r w:rsidRPr="009671F9">
        <w:t xml:space="preserve"> </w:t>
      </w:r>
      <w:r w:rsidR="00E64624" w:rsidRPr="009671F9">
        <w:t xml:space="preserve">to </w:t>
      </w:r>
      <w:r w:rsidR="000C4894" w:rsidRPr="009671F9">
        <w:t xml:space="preserve">review the </w:t>
      </w:r>
      <w:r w:rsidR="00E64624" w:rsidRPr="009671F9">
        <w:t xml:space="preserve">NHI </w:t>
      </w:r>
      <w:r w:rsidR="000C4894" w:rsidRPr="009671F9">
        <w:t>levy</w:t>
      </w:r>
      <w:r w:rsidRPr="009671F9">
        <w:t xml:space="preserve"> until 2027. </w:t>
      </w:r>
      <w:r w:rsidR="00E85CA8" w:rsidRPr="009671F9">
        <w:t xml:space="preserve">The implication of this is that </w:t>
      </w:r>
      <w:r w:rsidR="003A101A" w:rsidRPr="009671F9">
        <w:t>any growth in the NHF will be slower</w:t>
      </w:r>
      <w:r w:rsidR="000C4894" w:rsidRPr="009671F9">
        <w:t xml:space="preserve"> than had the levy rate increased, and the likelihood of drawing on the Crown </w:t>
      </w:r>
      <w:r w:rsidR="00565F1B" w:rsidRPr="009671F9">
        <w:t>g</w:t>
      </w:r>
      <w:r w:rsidR="000C4894" w:rsidRPr="009671F9">
        <w:t>uarantee is higher.</w:t>
      </w:r>
    </w:p>
    <w:p w14:paraId="2F2806A6" w14:textId="0B5BCC82" w:rsidR="001C78E0" w:rsidRPr="00296537" w:rsidRDefault="005E1A70" w:rsidP="00D675DA">
      <w:pPr>
        <w:rPr>
          <w:rFonts w:eastAsiaTheme="majorEastAsia" w:cstheme="majorBidi"/>
          <w:b/>
          <w:color w:val="262626" w:themeColor="text2" w:themeTint="D9"/>
          <w:szCs w:val="24"/>
        </w:rPr>
      </w:pPr>
      <w:bookmarkStart w:id="31" w:name="_Toc198615225"/>
      <w:r w:rsidRPr="00296537">
        <w:rPr>
          <w:rFonts w:eastAsiaTheme="majorEastAsia" w:cstheme="majorBidi"/>
          <w:b/>
          <w:color w:val="262626" w:themeColor="text2" w:themeTint="D9"/>
          <w:szCs w:val="24"/>
        </w:rPr>
        <w:t>A significant risk transfer programme</w:t>
      </w:r>
      <w:r w:rsidR="00CB1094" w:rsidRPr="00296537">
        <w:rPr>
          <w:rFonts w:eastAsiaTheme="majorEastAsia" w:cstheme="majorBidi"/>
          <w:b/>
          <w:color w:val="262626" w:themeColor="text2" w:themeTint="D9"/>
          <w:szCs w:val="24"/>
        </w:rPr>
        <w:t xml:space="preserve"> provides protection to the </w:t>
      </w:r>
      <w:r w:rsidR="00C46CE4" w:rsidRPr="00296537">
        <w:rPr>
          <w:rFonts w:eastAsiaTheme="majorEastAsia" w:cstheme="majorBidi"/>
          <w:b/>
          <w:color w:val="262626" w:themeColor="text2" w:themeTint="D9"/>
          <w:szCs w:val="24"/>
        </w:rPr>
        <w:t xml:space="preserve">Crown </w:t>
      </w:r>
      <w:r w:rsidR="00CB1094" w:rsidRPr="00296537">
        <w:rPr>
          <w:rFonts w:eastAsiaTheme="majorEastAsia" w:cstheme="majorBidi"/>
          <w:b/>
          <w:color w:val="262626" w:themeColor="text2" w:themeTint="D9"/>
          <w:szCs w:val="24"/>
        </w:rPr>
        <w:t>balance sheet</w:t>
      </w:r>
      <w:bookmarkEnd w:id="31"/>
    </w:p>
    <w:p w14:paraId="7ED68BEE" w14:textId="13ADA83D" w:rsidR="00694449" w:rsidRDefault="00694449" w:rsidP="00D675DA">
      <w:r>
        <w:t xml:space="preserve">Since 1988 </w:t>
      </w:r>
      <w:r w:rsidR="00174D35">
        <w:t xml:space="preserve">we have looked to transfer a proportion of the financial risks arising from the </w:t>
      </w:r>
      <w:r w:rsidR="00CC79AF">
        <w:t xml:space="preserve">NHI </w:t>
      </w:r>
      <w:r w:rsidR="00AB15F9">
        <w:t>s</w:t>
      </w:r>
      <w:r w:rsidR="00174D35">
        <w:t>cheme to global reinsurance markets.</w:t>
      </w:r>
      <w:r w:rsidR="002568A0">
        <w:t xml:space="preserve"> </w:t>
      </w:r>
      <w:r w:rsidR="00073D84">
        <w:t xml:space="preserve">The goal has been to manage </w:t>
      </w:r>
      <w:r w:rsidR="00A179E7">
        <w:t xml:space="preserve">the financial risks of severe events. </w:t>
      </w:r>
      <w:r w:rsidR="002568A0">
        <w:t xml:space="preserve">Our </w:t>
      </w:r>
      <w:r w:rsidR="00AE0E5B">
        <w:t xml:space="preserve">risk transfer </w:t>
      </w:r>
      <w:r w:rsidR="002568A0">
        <w:t xml:space="preserve">programme </w:t>
      </w:r>
      <w:r w:rsidR="00FD0104">
        <w:t>has evolved significantly</w:t>
      </w:r>
      <w:r w:rsidR="008E3653">
        <w:t>, building on our ongoing investment in science, research</w:t>
      </w:r>
      <w:r w:rsidR="0048592D">
        <w:t>,</w:t>
      </w:r>
      <w:r w:rsidR="008E3653">
        <w:t xml:space="preserve"> and loss modelling to develop a better understanding of the financial impact of the </w:t>
      </w:r>
      <w:r w:rsidR="0053637B">
        <w:t xml:space="preserve">natural hazard </w:t>
      </w:r>
      <w:r w:rsidR="008E3653">
        <w:t xml:space="preserve">risks covered by the </w:t>
      </w:r>
      <w:r w:rsidR="00CC79AF">
        <w:t xml:space="preserve">NHI </w:t>
      </w:r>
      <w:r w:rsidR="008E3653">
        <w:t>scheme.</w:t>
      </w:r>
      <w:r>
        <w:t xml:space="preserve"> </w:t>
      </w:r>
    </w:p>
    <w:p w14:paraId="1D82E62C" w14:textId="0281DF8F" w:rsidR="00524D02" w:rsidRPr="00FB4526" w:rsidRDefault="00524D02" w:rsidP="00D675DA">
      <w:r w:rsidRPr="00FB4526">
        <w:t xml:space="preserve">The </w:t>
      </w:r>
      <w:r w:rsidR="00CC79AF">
        <w:t>NHI s</w:t>
      </w:r>
      <w:r w:rsidRPr="00FB4526">
        <w:t xml:space="preserve">cheme is respected across the globe and is often seen as </w:t>
      </w:r>
      <w:r w:rsidR="00BE1D4E">
        <w:t>a</w:t>
      </w:r>
      <w:r w:rsidR="00BE1D4E" w:rsidRPr="00FB4526">
        <w:t xml:space="preserve"> </w:t>
      </w:r>
      <w:r w:rsidRPr="00FB4526">
        <w:t xml:space="preserve">leading government pool scheme </w:t>
      </w:r>
      <w:r w:rsidR="00BE1D4E">
        <w:t>globally</w:t>
      </w:r>
      <w:r w:rsidRPr="00FB4526">
        <w:t>. It continues to provide a diversifying risk for reinsurers</w:t>
      </w:r>
      <w:r w:rsidR="00F81257">
        <w:t xml:space="preserve"> and</w:t>
      </w:r>
      <w:r w:rsidR="00F81257" w:rsidRPr="00FB4526">
        <w:t xml:space="preserve"> investors</w:t>
      </w:r>
      <w:r w:rsidRPr="00FB4526">
        <w:t>. The programme has grown significantly in recent years</w:t>
      </w:r>
      <w:r w:rsidR="00483BF1" w:rsidRPr="00FB4526">
        <w:t xml:space="preserve">. </w:t>
      </w:r>
    </w:p>
    <w:p w14:paraId="671A1D42" w14:textId="0DA21071" w:rsidR="00614998" w:rsidRPr="00EE6ED3" w:rsidRDefault="006E12FA" w:rsidP="7B50C22B">
      <w:pPr>
        <w:pStyle w:val="Caption"/>
        <w:keepNext/>
        <w:rPr>
          <w:i w:val="0"/>
          <w:iCs w:val="0"/>
          <w:sz w:val="20"/>
          <w:szCs w:val="20"/>
        </w:rPr>
      </w:pPr>
      <w:r w:rsidRPr="7B50C22B">
        <w:rPr>
          <w:i w:val="0"/>
          <w:iCs w:val="0"/>
          <w:sz w:val="20"/>
          <w:szCs w:val="20"/>
        </w:rPr>
        <w:lastRenderedPageBreak/>
        <w:t>F</w:t>
      </w:r>
      <w:r w:rsidR="00F6057E">
        <w:rPr>
          <w:i w:val="0"/>
          <w:iCs w:val="0"/>
          <w:sz w:val="20"/>
          <w:szCs w:val="20"/>
        </w:rPr>
        <w:t>i</w:t>
      </w:r>
      <w:r w:rsidRPr="7B50C22B">
        <w:rPr>
          <w:i w:val="0"/>
          <w:iCs w:val="0"/>
          <w:sz w:val="20"/>
          <w:szCs w:val="20"/>
        </w:rPr>
        <w:t xml:space="preserve">gure </w:t>
      </w:r>
      <w:r w:rsidR="0097748D" w:rsidRPr="7B50C22B">
        <w:rPr>
          <w:i w:val="0"/>
          <w:iCs w:val="0"/>
          <w:sz w:val="20"/>
          <w:szCs w:val="20"/>
        </w:rPr>
        <w:t>4</w:t>
      </w:r>
      <w:r w:rsidR="00803F92" w:rsidRPr="7B50C22B">
        <w:rPr>
          <w:i w:val="0"/>
          <w:iCs w:val="0"/>
          <w:sz w:val="20"/>
          <w:szCs w:val="20"/>
        </w:rPr>
        <w:t>:</w:t>
      </w:r>
      <w:r w:rsidRPr="7B50C22B">
        <w:rPr>
          <w:i w:val="0"/>
          <w:iCs w:val="0"/>
          <w:sz w:val="20"/>
          <w:szCs w:val="20"/>
        </w:rPr>
        <w:t xml:space="preserve"> </w:t>
      </w:r>
      <w:r w:rsidR="000620F6" w:rsidRPr="7B50C22B">
        <w:rPr>
          <w:i w:val="0"/>
          <w:iCs w:val="0"/>
          <w:sz w:val="20"/>
          <w:szCs w:val="20"/>
        </w:rPr>
        <w:t xml:space="preserve">Our </w:t>
      </w:r>
      <w:r w:rsidRPr="7B50C22B">
        <w:rPr>
          <w:i w:val="0"/>
          <w:iCs w:val="0"/>
          <w:sz w:val="20"/>
          <w:szCs w:val="20"/>
        </w:rPr>
        <w:t xml:space="preserve">Risk Transfer Programme </w:t>
      </w:r>
      <w:r w:rsidR="00956EA5" w:rsidRPr="7B50C22B">
        <w:rPr>
          <w:i w:val="0"/>
          <w:iCs w:val="0"/>
          <w:sz w:val="20"/>
          <w:szCs w:val="20"/>
        </w:rPr>
        <w:t>g</w:t>
      </w:r>
      <w:r w:rsidRPr="7B50C22B">
        <w:rPr>
          <w:i w:val="0"/>
          <w:iCs w:val="0"/>
          <w:sz w:val="20"/>
          <w:szCs w:val="20"/>
        </w:rPr>
        <w:t>rowth</w:t>
      </w:r>
    </w:p>
    <w:p w14:paraId="0E155F80" w14:textId="47FFEBF7" w:rsidR="00CA43C4" w:rsidRDefault="00CA43C4" w:rsidP="00044609">
      <w:pPr>
        <w:pStyle w:val="Intro"/>
        <w:keepNext/>
      </w:pPr>
      <w:r>
        <w:rPr>
          <w:noProof/>
        </w:rPr>
        <w:drawing>
          <wp:inline distT="0" distB="0" distL="0" distR="0" wp14:anchorId="272C2C15" wp14:editId="11D9318E">
            <wp:extent cx="5734050" cy="2798859"/>
            <wp:effectExtent l="0" t="0" r="0" b="1905"/>
            <wp:docPr id="2010315384" name="Chart 1">
              <a:extLst xmlns:a="http://schemas.openxmlformats.org/drawingml/2006/main">
                <a:ext uri="{FF2B5EF4-FFF2-40B4-BE49-F238E27FC236}">
                  <a16:creationId xmlns:a16="http://schemas.microsoft.com/office/drawing/2014/main" id="{D8EB1798-3B84-3C88-87A4-ED92E9C400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bl>
      <w:tblPr>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38"/>
        <w:gridCol w:w="7229"/>
      </w:tblGrid>
      <w:tr w:rsidR="00CA43C4" w:rsidRPr="00CA43C4" w14:paraId="2BAF82BB" w14:textId="77777777" w:rsidTr="00E64624">
        <w:trPr>
          <w:trHeight w:val="204"/>
        </w:trPr>
        <w:tc>
          <w:tcPr>
            <w:tcW w:w="1838" w:type="dxa"/>
            <w:shd w:val="clear" w:color="auto" w:fill="052A4D" w:themeFill="accent1"/>
            <w:noWrap/>
            <w:tcMar>
              <w:left w:w="57" w:type="dxa"/>
              <w:right w:w="57" w:type="dxa"/>
            </w:tcMar>
            <w:vAlign w:val="bottom"/>
            <w:hideMark/>
          </w:tcPr>
          <w:p w14:paraId="181B046F" w14:textId="0C275920" w:rsidR="00CA43C4" w:rsidRPr="00BC1F2B" w:rsidRDefault="00BC1F2B" w:rsidP="00E64624">
            <w:pPr>
              <w:spacing w:before="40" w:after="40" w:line="240" w:lineRule="auto"/>
              <w:rPr>
                <w:rFonts w:eastAsia="Times New Roman" w:cs="Times New Roman"/>
                <w:b/>
                <w:bCs/>
                <w:color w:val="FFFFFF" w:themeColor="background2"/>
                <w:sz w:val="18"/>
                <w:szCs w:val="18"/>
                <w:lang w:eastAsia="zh-CN" w:bidi="th-TH"/>
              </w:rPr>
            </w:pPr>
            <w:r w:rsidRPr="00BC1F2B">
              <w:rPr>
                <w:rFonts w:eastAsia="Times New Roman" w:cs="Times New Roman"/>
                <w:b/>
                <w:bCs/>
                <w:color w:val="FFFFFF" w:themeColor="background2"/>
                <w:sz w:val="18"/>
                <w:szCs w:val="18"/>
                <w:lang w:eastAsia="zh-CN" w:bidi="th-TH"/>
              </w:rPr>
              <w:t>Term</w:t>
            </w:r>
          </w:p>
        </w:tc>
        <w:tc>
          <w:tcPr>
            <w:tcW w:w="7229" w:type="dxa"/>
            <w:shd w:val="clear" w:color="auto" w:fill="052A4D" w:themeFill="accent1"/>
            <w:noWrap/>
            <w:tcMar>
              <w:left w:w="57" w:type="dxa"/>
              <w:right w:w="57" w:type="dxa"/>
            </w:tcMar>
            <w:vAlign w:val="bottom"/>
            <w:hideMark/>
          </w:tcPr>
          <w:p w14:paraId="5F85D0FE" w14:textId="77777777" w:rsidR="00CA43C4" w:rsidRPr="00BC1F2B" w:rsidRDefault="00CA43C4" w:rsidP="00E64624">
            <w:pPr>
              <w:spacing w:before="40" w:after="40" w:line="240" w:lineRule="auto"/>
              <w:rPr>
                <w:rFonts w:eastAsia="Times New Roman" w:cs="Times New Roman"/>
                <w:b/>
                <w:bCs/>
                <w:color w:val="FFFFFF" w:themeColor="background2"/>
                <w:sz w:val="18"/>
                <w:szCs w:val="18"/>
                <w:lang w:eastAsia="zh-CN" w:bidi="th-TH"/>
              </w:rPr>
            </w:pPr>
            <w:r w:rsidRPr="00BC1F2B">
              <w:rPr>
                <w:rFonts w:eastAsia="Times New Roman" w:cs="Times New Roman"/>
                <w:b/>
                <w:bCs/>
                <w:color w:val="FFFFFF" w:themeColor="background2"/>
                <w:sz w:val="18"/>
                <w:szCs w:val="18"/>
                <w:lang w:eastAsia="zh-CN" w:bidi="th-TH"/>
              </w:rPr>
              <w:t xml:space="preserve">Description </w:t>
            </w:r>
          </w:p>
        </w:tc>
      </w:tr>
      <w:tr w:rsidR="00CA43C4" w:rsidRPr="00CA43C4" w14:paraId="45304D7C" w14:textId="77777777" w:rsidTr="00EA5CD2">
        <w:trPr>
          <w:trHeight w:val="170"/>
        </w:trPr>
        <w:tc>
          <w:tcPr>
            <w:tcW w:w="1838" w:type="dxa"/>
            <w:noWrap/>
            <w:tcMar>
              <w:left w:w="57" w:type="dxa"/>
              <w:right w:w="57" w:type="dxa"/>
            </w:tcMar>
            <w:hideMark/>
          </w:tcPr>
          <w:p w14:paraId="07370D57" w14:textId="4B6A3309" w:rsidR="00CA43C4" w:rsidRPr="00E64624" w:rsidRDefault="00CA43C4" w:rsidP="00E64624">
            <w:pPr>
              <w:spacing w:before="40" w:after="40" w:line="240" w:lineRule="auto"/>
              <w:rPr>
                <w:rFonts w:eastAsia="Times New Roman" w:cs="Times New Roman"/>
                <w:b/>
                <w:bCs/>
                <w:color w:val="000000"/>
                <w:sz w:val="18"/>
                <w:szCs w:val="18"/>
                <w:lang w:eastAsia="zh-CN" w:bidi="th-TH"/>
              </w:rPr>
            </w:pPr>
            <w:r w:rsidRPr="00E64624">
              <w:rPr>
                <w:rFonts w:eastAsia="Times New Roman" w:cs="Times New Roman"/>
                <w:b/>
                <w:bCs/>
                <w:color w:val="000000"/>
                <w:sz w:val="18"/>
                <w:szCs w:val="18"/>
                <w:lang w:eastAsia="zh-CN" w:bidi="th-TH"/>
              </w:rPr>
              <w:t xml:space="preserve">FGU </w:t>
            </w:r>
            <w:r w:rsidR="00930CFD" w:rsidRPr="00E64624">
              <w:rPr>
                <w:rFonts w:eastAsia="Times New Roman" w:cs="Times New Roman"/>
                <w:b/>
                <w:bCs/>
                <w:color w:val="000000"/>
                <w:sz w:val="18"/>
                <w:szCs w:val="18"/>
                <w:lang w:eastAsia="zh-CN" w:bidi="th-TH"/>
              </w:rPr>
              <w:t>l</w:t>
            </w:r>
            <w:r w:rsidRPr="00E64624">
              <w:rPr>
                <w:rFonts w:eastAsia="Times New Roman" w:cs="Times New Roman"/>
                <w:b/>
                <w:bCs/>
                <w:color w:val="000000"/>
                <w:sz w:val="18"/>
                <w:szCs w:val="18"/>
                <w:lang w:eastAsia="zh-CN" w:bidi="th-TH"/>
              </w:rPr>
              <w:t>imit</w:t>
            </w:r>
          </w:p>
        </w:tc>
        <w:tc>
          <w:tcPr>
            <w:tcW w:w="7229" w:type="dxa"/>
            <w:noWrap/>
            <w:tcMar>
              <w:left w:w="57" w:type="dxa"/>
              <w:right w:w="57" w:type="dxa"/>
            </w:tcMar>
            <w:hideMark/>
          </w:tcPr>
          <w:p w14:paraId="66076811" w14:textId="70121EF8" w:rsidR="00CA43C4" w:rsidRPr="00EA5CD2" w:rsidRDefault="00286487" w:rsidP="00E64624">
            <w:pPr>
              <w:spacing w:before="40" w:after="40" w:line="240" w:lineRule="auto"/>
              <w:rPr>
                <w:rFonts w:eastAsia="Times New Roman" w:cs="Times New Roman"/>
                <w:color w:val="000000"/>
                <w:sz w:val="18"/>
                <w:szCs w:val="18"/>
                <w:lang w:eastAsia="zh-CN" w:bidi="th-TH"/>
              </w:rPr>
            </w:pPr>
            <w:r>
              <w:rPr>
                <w:rFonts w:eastAsia="Times New Roman" w:cs="Times New Roman"/>
                <w:color w:val="000000"/>
                <w:sz w:val="18"/>
                <w:szCs w:val="18"/>
                <w:lang w:eastAsia="zh-CN" w:bidi="th-TH"/>
              </w:rPr>
              <w:t xml:space="preserve">In reinsurance, </w:t>
            </w:r>
            <w:r w:rsidR="00397C12" w:rsidRPr="00397C12">
              <w:rPr>
                <w:rFonts w:eastAsia="Times New Roman" w:cs="Times New Roman"/>
                <w:color w:val="000000"/>
                <w:sz w:val="18"/>
                <w:szCs w:val="18"/>
                <w:lang w:eastAsia="zh-CN" w:bidi="th-TH"/>
              </w:rPr>
              <w:t>FGU</w:t>
            </w:r>
            <w:r w:rsidR="008F5A8F">
              <w:rPr>
                <w:rFonts w:eastAsia="Times New Roman" w:cs="Times New Roman"/>
                <w:color w:val="000000"/>
                <w:sz w:val="18"/>
                <w:szCs w:val="18"/>
                <w:lang w:eastAsia="zh-CN" w:bidi="th-TH"/>
              </w:rPr>
              <w:t xml:space="preserve"> </w:t>
            </w:r>
            <w:r w:rsidR="00835C61">
              <w:rPr>
                <w:rFonts w:eastAsia="Times New Roman" w:cs="Times New Roman"/>
                <w:color w:val="000000"/>
                <w:sz w:val="18"/>
                <w:szCs w:val="18"/>
                <w:lang w:eastAsia="zh-CN" w:bidi="th-TH"/>
              </w:rPr>
              <w:t>means</w:t>
            </w:r>
            <w:r w:rsidR="00397C12" w:rsidRPr="00397C12">
              <w:rPr>
                <w:rFonts w:eastAsia="Times New Roman" w:cs="Times New Roman"/>
                <w:color w:val="000000"/>
                <w:sz w:val="18"/>
                <w:szCs w:val="18"/>
                <w:lang w:eastAsia="zh-CN" w:bidi="th-TH"/>
              </w:rPr>
              <w:t xml:space="preserve"> </w:t>
            </w:r>
            <w:r w:rsidR="00930CFD">
              <w:rPr>
                <w:rFonts w:eastAsia="Times New Roman" w:cs="Times New Roman"/>
                <w:color w:val="000000"/>
                <w:sz w:val="18"/>
                <w:szCs w:val="18"/>
                <w:lang w:eastAsia="zh-CN" w:bidi="th-TH"/>
              </w:rPr>
              <w:t>‘f</w:t>
            </w:r>
            <w:r w:rsidR="00930CFD" w:rsidRPr="00397C12">
              <w:rPr>
                <w:rFonts w:eastAsia="Times New Roman" w:cs="Times New Roman"/>
                <w:color w:val="000000"/>
                <w:sz w:val="18"/>
                <w:szCs w:val="18"/>
                <w:lang w:eastAsia="zh-CN" w:bidi="th-TH"/>
              </w:rPr>
              <w:t xml:space="preserve">rom </w:t>
            </w:r>
            <w:r w:rsidR="00930CFD">
              <w:rPr>
                <w:rFonts w:eastAsia="Times New Roman" w:cs="Times New Roman"/>
                <w:color w:val="000000"/>
                <w:sz w:val="18"/>
                <w:szCs w:val="18"/>
                <w:lang w:eastAsia="zh-CN" w:bidi="th-TH"/>
              </w:rPr>
              <w:t>g</w:t>
            </w:r>
            <w:r w:rsidR="00930CFD" w:rsidRPr="00397C12">
              <w:rPr>
                <w:rFonts w:eastAsia="Times New Roman" w:cs="Times New Roman"/>
                <w:color w:val="000000"/>
                <w:sz w:val="18"/>
                <w:szCs w:val="18"/>
                <w:lang w:eastAsia="zh-CN" w:bidi="th-TH"/>
              </w:rPr>
              <w:t xml:space="preserve">round </w:t>
            </w:r>
            <w:r w:rsidR="00930CFD">
              <w:rPr>
                <w:rFonts w:eastAsia="Times New Roman" w:cs="Times New Roman"/>
                <w:color w:val="000000"/>
                <w:sz w:val="18"/>
                <w:szCs w:val="18"/>
                <w:lang w:eastAsia="zh-CN" w:bidi="th-TH"/>
              </w:rPr>
              <w:t>u</w:t>
            </w:r>
            <w:r w:rsidR="00930CFD" w:rsidRPr="00397C12">
              <w:rPr>
                <w:rFonts w:eastAsia="Times New Roman" w:cs="Times New Roman"/>
                <w:color w:val="000000"/>
                <w:sz w:val="18"/>
                <w:szCs w:val="18"/>
                <w:lang w:eastAsia="zh-CN" w:bidi="th-TH"/>
              </w:rPr>
              <w:t>p</w:t>
            </w:r>
            <w:r w:rsidR="00930CFD">
              <w:rPr>
                <w:rFonts w:eastAsia="Times New Roman" w:cs="Times New Roman"/>
                <w:color w:val="000000"/>
                <w:sz w:val="18"/>
                <w:szCs w:val="18"/>
                <w:lang w:eastAsia="zh-CN" w:bidi="th-TH"/>
              </w:rPr>
              <w:t>’</w:t>
            </w:r>
            <w:r w:rsidR="000D5232">
              <w:rPr>
                <w:rFonts w:eastAsia="Times New Roman" w:cs="Times New Roman"/>
                <w:color w:val="000000"/>
                <w:sz w:val="18"/>
                <w:szCs w:val="18"/>
                <w:lang w:eastAsia="zh-CN" w:bidi="th-TH"/>
              </w:rPr>
              <w:t xml:space="preserve">. </w:t>
            </w:r>
            <w:r w:rsidR="00930CFD">
              <w:rPr>
                <w:rFonts w:eastAsia="Times New Roman" w:cs="Times New Roman"/>
                <w:color w:val="000000"/>
                <w:sz w:val="18"/>
                <w:szCs w:val="18"/>
                <w:lang w:eastAsia="zh-CN" w:bidi="th-TH"/>
              </w:rPr>
              <w:t>‘</w:t>
            </w:r>
            <w:r w:rsidR="000D5232">
              <w:rPr>
                <w:rFonts w:eastAsia="Times New Roman" w:cs="Times New Roman"/>
                <w:color w:val="000000"/>
                <w:sz w:val="18"/>
                <w:szCs w:val="18"/>
                <w:lang w:eastAsia="zh-CN" w:bidi="th-TH"/>
              </w:rPr>
              <w:t xml:space="preserve">FGU </w:t>
            </w:r>
            <w:r w:rsidR="00930CFD">
              <w:rPr>
                <w:rFonts w:eastAsia="Times New Roman" w:cs="Times New Roman"/>
                <w:color w:val="000000"/>
                <w:sz w:val="18"/>
                <w:szCs w:val="18"/>
                <w:lang w:eastAsia="zh-CN" w:bidi="th-TH"/>
              </w:rPr>
              <w:t>limit’</w:t>
            </w:r>
            <w:r w:rsidR="00930CFD" w:rsidRPr="00397C12">
              <w:rPr>
                <w:rFonts w:eastAsia="Times New Roman" w:cs="Times New Roman"/>
                <w:color w:val="000000"/>
                <w:sz w:val="18"/>
                <w:szCs w:val="18"/>
                <w:lang w:eastAsia="zh-CN" w:bidi="th-TH"/>
              </w:rPr>
              <w:t xml:space="preserve"> </w:t>
            </w:r>
            <w:r w:rsidR="00397C12" w:rsidRPr="00397C12">
              <w:rPr>
                <w:rFonts w:eastAsia="Times New Roman" w:cs="Times New Roman"/>
                <w:color w:val="000000"/>
                <w:sz w:val="18"/>
                <w:szCs w:val="18"/>
                <w:lang w:eastAsia="zh-CN" w:bidi="th-TH"/>
              </w:rPr>
              <w:t>refers to the maximum amount a reinsurer will pay for a loss, calculated from the first dollar of the loss</w:t>
            </w:r>
            <w:r w:rsidR="00930CFD">
              <w:rPr>
                <w:rFonts w:eastAsia="Times New Roman" w:cs="Times New Roman"/>
                <w:color w:val="000000"/>
                <w:sz w:val="18"/>
                <w:szCs w:val="18"/>
                <w:lang w:eastAsia="zh-CN" w:bidi="th-TH"/>
              </w:rPr>
              <w:t>,</w:t>
            </w:r>
            <w:r w:rsidR="00397C12" w:rsidRPr="00397C12">
              <w:rPr>
                <w:rFonts w:eastAsia="Times New Roman" w:cs="Times New Roman"/>
                <w:color w:val="000000"/>
                <w:sz w:val="18"/>
                <w:szCs w:val="18"/>
                <w:lang w:eastAsia="zh-CN" w:bidi="th-TH"/>
              </w:rPr>
              <w:t xml:space="preserve"> before any deductibles or retentions are applied. </w:t>
            </w:r>
          </w:p>
        </w:tc>
      </w:tr>
      <w:tr w:rsidR="00CA43C4" w:rsidRPr="00CA43C4" w14:paraId="5A90D6D7" w14:textId="77777777" w:rsidTr="00EA5CD2">
        <w:trPr>
          <w:trHeight w:val="230"/>
        </w:trPr>
        <w:tc>
          <w:tcPr>
            <w:tcW w:w="1838" w:type="dxa"/>
            <w:noWrap/>
            <w:tcMar>
              <w:left w:w="57" w:type="dxa"/>
              <w:right w:w="57" w:type="dxa"/>
            </w:tcMar>
            <w:hideMark/>
          </w:tcPr>
          <w:p w14:paraId="69196ACE" w14:textId="023AF613" w:rsidR="00CA43C4" w:rsidRPr="00E64624" w:rsidRDefault="00CA43C4" w:rsidP="00E64624">
            <w:pPr>
              <w:spacing w:before="40" w:after="40" w:line="240" w:lineRule="auto"/>
              <w:rPr>
                <w:rFonts w:eastAsia="Times New Roman" w:cs="Times New Roman"/>
                <w:b/>
                <w:bCs/>
                <w:color w:val="000000"/>
                <w:sz w:val="18"/>
                <w:szCs w:val="18"/>
                <w:lang w:eastAsia="zh-CN" w:bidi="th-TH"/>
              </w:rPr>
            </w:pPr>
            <w:r w:rsidRPr="00E64624">
              <w:rPr>
                <w:rFonts w:eastAsia="Times New Roman" w:cs="Times New Roman"/>
                <w:b/>
                <w:bCs/>
                <w:color w:val="000000"/>
                <w:sz w:val="18"/>
                <w:szCs w:val="18"/>
                <w:lang w:eastAsia="zh-CN" w:bidi="th-TH"/>
              </w:rPr>
              <w:t xml:space="preserve">Signed </w:t>
            </w:r>
            <w:r w:rsidR="00930CFD" w:rsidRPr="00E64624">
              <w:rPr>
                <w:rFonts w:eastAsia="Times New Roman" w:cs="Times New Roman"/>
                <w:b/>
                <w:bCs/>
                <w:color w:val="000000"/>
                <w:sz w:val="18"/>
                <w:szCs w:val="18"/>
                <w:lang w:eastAsia="zh-CN" w:bidi="th-TH"/>
              </w:rPr>
              <w:t>c</w:t>
            </w:r>
            <w:r w:rsidRPr="00E64624">
              <w:rPr>
                <w:rFonts w:eastAsia="Times New Roman" w:cs="Times New Roman"/>
                <w:b/>
                <w:bCs/>
                <w:color w:val="000000"/>
                <w:sz w:val="18"/>
                <w:szCs w:val="18"/>
                <w:lang w:eastAsia="zh-CN" w:bidi="th-TH"/>
              </w:rPr>
              <w:t>apacity</w:t>
            </w:r>
          </w:p>
        </w:tc>
        <w:tc>
          <w:tcPr>
            <w:tcW w:w="7229" w:type="dxa"/>
            <w:noWrap/>
            <w:tcMar>
              <w:left w:w="57" w:type="dxa"/>
              <w:right w:w="57" w:type="dxa"/>
            </w:tcMar>
            <w:hideMark/>
          </w:tcPr>
          <w:p w14:paraId="0F235C19" w14:textId="6D6FD980" w:rsidR="00CA43C4" w:rsidRPr="00EA5CD2" w:rsidRDefault="00FC728F" w:rsidP="00E64624">
            <w:pPr>
              <w:spacing w:before="40" w:after="40" w:line="240" w:lineRule="auto"/>
              <w:rPr>
                <w:rFonts w:eastAsia="Times New Roman" w:cs="Times New Roman"/>
                <w:color w:val="000000"/>
                <w:sz w:val="18"/>
                <w:szCs w:val="18"/>
                <w:lang w:eastAsia="zh-CN" w:bidi="th-TH"/>
              </w:rPr>
            </w:pPr>
            <w:r>
              <w:rPr>
                <w:rFonts w:eastAsia="Times New Roman" w:cs="Times New Roman"/>
                <w:color w:val="000000"/>
                <w:sz w:val="18"/>
                <w:szCs w:val="18"/>
                <w:lang w:eastAsia="zh-CN" w:bidi="th-TH"/>
              </w:rPr>
              <w:t>This</w:t>
            </w:r>
            <w:r w:rsidR="009D7E25" w:rsidRPr="009D7E25">
              <w:rPr>
                <w:rFonts w:eastAsia="Times New Roman" w:cs="Times New Roman"/>
                <w:color w:val="000000"/>
                <w:sz w:val="18"/>
                <w:szCs w:val="18"/>
                <w:lang w:eastAsia="zh-CN" w:bidi="th-TH"/>
              </w:rPr>
              <w:t xml:space="preserve"> is the portion of a risk that a reinsurer, through a signed contract, has agreed to assume</w:t>
            </w:r>
            <w:r w:rsidR="002F6E79">
              <w:rPr>
                <w:rFonts w:eastAsia="Times New Roman" w:cs="Times New Roman"/>
                <w:color w:val="000000"/>
                <w:sz w:val="18"/>
                <w:szCs w:val="18"/>
                <w:lang w:eastAsia="zh-CN" w:bidi="th-TH"/>
              </w:rPr>
              <w:t xml:space="preserve">. </w:t>
            </w:r>
            <w:r w:rsidR="009D7E25" w:rsidRPr="009D7E25">
              <w:rPr>
                <w:rFonts w:eastAsia="Times New Roman" w:cs="Times New Roman"/>
                <w:color w:val="000000"/>
                <w:sz w:val="18"/>
                <w:szCs w:val="18"/>
                <w:lang w:eastAsia="zh-CN" w:bidi="th-TH"/>
              </w:rPr>
              <w:t>It represents the risk that has been successfully placed with a reinsurer.</w:t>
            </w:r>
          </w:p>
        </w:tc>
      </w:tr>
      <w:tr w:rsidR="00CA43C4" w:rsidRPr="00CA43C4" w14:paraId="190A0783" w14:textId="77777777" w:rsidTr="00EA5CD2">
        <w:trPr>
          <w:trHeight w:val="60"/>
        </w:trPr>
        <w:tc>
          <w:tcPr>
            <w:tcW w:w="1838" w:type="dxa"/>
            <w:noWrap/>
            <w:tcMar>
              <w:left w:w="57" w:type="dxa"/>
              <w:right w:w="57" w:type="dxa"/>
            </w:tcMar>
            <w:hideMark/>
          </w:tcPr>
          <w:p w14:paraId="018ED2F2" w14:textId="2AFEF29F" w:rsidR="00CA43C4" w:rsidRPr="00E64624" w:rsidRDefault="00CA43C4" w:rsidP="00E64624">
            <w:pPr>
              <w:spacing w:before="20" w:after="20" w:line="240" w:lineRule="auto"/>
              <w:rPr>
                <w:rFonts w:eastAsia="Times New Roman" w:cs="Times New Roman"/>
                <w:b/>
                <w:bCs/>
                <w:color w:val="000000"/>
                <w:sz w:val="18"/>
                <w:szCs w:val="18"/>
                <w:lang w:eastAsia="zh-CN" w:bidi="th-TH"/>
              </w:rPr>
            </w:pPr>
            <w:r w:rsidRPr="00E64624">
              <w:rPr>
                <w:rFonts w:eastAsia="Times New Roman" w:cs="Times New Roman"/>
                <w:b/>
                <w:bCs/>
                <w:color w:val="000000"/>
                <w:sz w:val="18"/>
                <w:szCs w:val="18"/>
                <w:lang w:eastAsia="zh-CN" w:bidi="th-TH"/>
              </w:rPr>
              <w:t xml:space="preserve">RMS </w:t>
            </w:r>
            <w:r w:rsidR="00930CFD" w:rsidRPr="00E64624">
              <w:rPr>
                <w:rFonts w:eastAsia="Times New Roman" w:cs="Times New Roman"/>
                <w:b/>
                <w:bCs/>
                <w:color w:val="000000"/>
                <w:sz w:val="18"/>
                <w:szCs w:val="18"/>
                <w:lang w:eastAsia="zh-CN" w:bidi="th-TH"/>
              </w:rPr>
              <w:t>exit</w:t>
            </w:r>
          </w:p>
        </w:tc>
        <w:tc>
          <w:tcPr>
            <w:tcW w:w="7229" w:type="dxa"/>
            <w:noWrap/>
            <w:tcMar>
              <w:left w:w="57" w:type="dxa"/>
              <w:right w:w="57" w:type="dxa"/>
            </w:tcMar>
            <w:hideMark/>
          </w:tcPr>
          <w:p w14:paraId="5F3F4369" w14:textId="7CA7FED5" w:rsidR="00CA43C4" w:rsidRPr="00EA5CD2" w:rsidRDefault="008C1A61" w:rsidP="00E64624">
            <w:pPr>
              <w:spacing w:before="20" w:after="20" w:line="240" w:lineRule="auto"/>
              <w:rPr>
                <w:rFonts w:eastAsia="Times New Roman" w:cs="Times New Roman"/>
                <w:color w:val="000000"/>
                <w:sz w:val="18"/>
                <w:szCs w:val="18"/>
                <w:lang w:eastAsia="zh-CN" w:bidi="th-TH"/>
              </w:rPr>
            </w:pPr>
            <w:r>
              <w:rPr>
                <w:rFonts w:eastAsia="Times New Roman" w:cs="Times New Roman"/>
                <w:color w:val="000000"/>
                <w:sz w:val="18"/>
                <w:szCs w:val="18"/>
                <w:lang w:eastAsia="zh-CN" w:bidi="th-TH"/>
              </w:rPr>
              <w:t>T</w:t>
            </w:r>
            <w:r w:rsidR="00875125">
              <w:rPr>
                <w:rFonts w:eastAsia="Times New Roman" w:cs="Times New Roman"/>
                <w:color w:val="000000"/>
                <w:sz w:val="18"/>
                <w:szCs w:val="18"/>
                <w:lang w:eastAsia="zh-CN" w:bidi="th-TH"/>
              </w:rPr>
              <w:t xml:space="preserve">he </w:t>
            </w:r>
            <w:r w:rsidR="008937BB">
              <w:rPr>
                <w:rFonts w:eastAsia="Times New Roman" w:cs="Times New Roman"/>
                <w:color w:val="000000"/>
                <w:sz w:val="18"/>
                <w:szCs w:val="18"/>
                <w:lang w:eastAsia="zh-CN" w:bidi="th-TH"/>
              </w:rPr>
              <w:t xml:space="preserve">modelled </w:t>
            </w:r>
            <w:r w:rsidR="00875125">
              <w:rPr>
                <w:rFonts w:eastAsia="Times New Roman" w:cs="Times New Roman"/>
                <w:color w:val="000000"/>
                <w:sz w:val="18"/>
                <w:szCs w:val="18"/>
                <w:lang w:eastAsia="zh-CN" w:bidi="th-TH"/>
              </w:rPr>
              <w:t xml:space="preserve">exit point of the </w:t>
            </w:r>
            <w:r w:rsidR="00DA3D41">
              <w:rPr>
                <w:rFonts w:eastAsia="Times New Roman" w:cs="Times New Roman"/>
                <w:color w:val="000000"/>
                <w:sz w:val="18"/>
                <w:szCs w:val="18"/>
                <w:lang w:eastAsia="zh-CN" w:bidi="th-TH"/>
              </w:rPr>
              <w:t>programme</w:t>
            </w:r>
            <w:r w:rsidR="00DF6A8F">
              <w:rPr>
                <w:rFonts w:eastAsia="Times New Roman" w:cs="Times New Roman"/>
                <w:color w:val="000000"/>
                <w:sz w:val="18"/>
                <w:szCs w:val="18"/>
                <w:lang w:eastAsia="zh-CN" w:bidi="th-TH"/>
              </w:rPr>
              <w:t xml:space="preserve"> in </w:t>
            </w:r>
            <w:r w:rsidR="00DA3D41">
              <w:rPr>
                <w:rFonts w:eastAsia="Times New Roman" w:cs="Times New Roman"/>
                <w:color w:val="000000"/>
                <w:sz w:val="18"/>
                <w:szCs w:val="18"/>
                <w:lang w:eastAsia="zh-CN" w:bidi="th-TH"/>
              </w:rPr>
              <w:t>return</w:t>
            </w:r>
            <w:r w:rsidR="00DF6A8F">
              <w:rPr>
                <w:rFonts w:eastAsia="Times New Roman" w:cs="Times New Roman"/>
                <w:color w:val="000000"/>
                <w:sz w:val="18"/>
                <w:szCs w:val="18"/>
                <w:lang w:eastAsia="zh-CN" w:bidi="th-TH"/>
              </w:rPr>
              <w:t xml:space="preserve"> period (in years) using </w:t>
            </w:r>
            <w:r w:rsidR="00DA3D41">
              <w:rPr>
                <w:rFonts w:eastAsia="Times New Roman" w:cs="Times New Roman"/>
                <w:color w:val="000000"/>
                <w:sz w:val="18"/>
                <w:szCs w:val="18"/>
                <w:lang w:eastAsia="zh-CN" w:bidi="th-TH"/>
              </w:rPr>
              <w:t>RMS models</w:t>
            </w:r>
            <w:r w:rsidR="00C25405">
              <w:rPr>
                <w:rFonts w:eastAsia="Times New Roman" w:cs="Times New Roman"/>
                <w:color w:val="000000"/>
                <w:sz w:val="18"/>
                <w:szCs w:val="18"/>
                <w:lang w:eastAsia="zh-CN" w:bidi="th-TH"/>
              </w:rPr>
              <w:t>.</w:t>
            </w:r>
            <w:r w:rsidR="00DA3D41">
              <w:rPr>
                <w:rFonts w:eastAsia="Times New Roman" w:cs="Times New Roman"/>
                <w:color w:val="000000"/>
                <w:sz w:val="18"/>
                <w:szCs w:val="18"/>
                <w:lang w:eastAsia="zh-CN" w:bidi="th-TH"/>
              </w:rPr>
              <w:t xml:space="preserve"> </w:t>
            </w:r>
          </w:p>
        </w:tc>
      </w:tr>
      <w:tr w:rsidR="00CA43C4" w:rsidRPr="00CA43C4" w14:paraId="2FD3ED93" w14:textId="77777777" w:rsidTr="00EA5CD2">
        <w:trPr>
          <w:trHeight w:val="60"/>
        </w:trPr>
        <w:tc>
          <w:tcPr>
            <w:tcW w:w="1838" w:type="dxa"/>
            <w:noWrap/>
            <w:tcMar>
              <w:left w:w="57" w:type="dxa"/>
              <w:right w:w="57" w:type="dxa"/>
            </w:tcMar>
            <w:hideMark/>
          </w:tcPr>
          <w:p w14:paraId="30CEEEE7" w14:textId="5DF21EF9" w:rsidR="00CA43C4" w:rsidRPr="00E64624" w:rsidRDefault="00CA43C4" w:rsidP="00E64624">
            <w:pPr>
              <w:spacing w:before="40" w:after="40" w:line="240" w:lineRule="auto"/>
              <w:rPr>
                <w:rFonts w:eastAsia="Times New Roman" w:cs="Times New Roman"/>
                <w:b/>
                <w:bCs/>
                <w:color w:val="000000"/>
                <w:sz w:val="18"/>
                <w:szCs w:val="18"/>
                <w:lang w:eastAsia="zh-CN" w:bidi="th-TH"/>
              </w:rPr>
            </w:pPr>
            <w:r w:rsidRPr="00E64624">
              <w:rPr>
                <w:rFonts w:eastAsia="Times New Roman" w:cs="Times New Roman"/>
                <w:b/>
                <w:bCs/>
                <w:color w:val="000000"/>
                <w:sz w:val="18"/>
                <w:szCs w:val="18"/>
                <w:lang w:eastAsia="zh-CN" w:bidi="th-TH"/>
              </w:rPr>
              <w:t>Attachment</w:t>
            </w:r>
          </w:p>
        </w:tc>
        <w:tc>
          <w:tcPr>
            <w:tcW w:w="7229" w:type="dxa"/>
            <w:noWrap/>
            <w:tcMar>
              <w:left w:w="57" w:type="dxa"/>
              <w:right w:w="57" w:type="dxa"/>
            </w:tcMar>
            <w:hideMark/>
          </w:tcPr>
          <w:p w14:paraId="0DAFE43F" w14:textId="375F8727" w:rsidR="00CA43C4" w:rsidRPr="00EA5CD2" w:rsidRDefault="008C1A61" w:rsidP="00E64624">
            <w:pPr>
              <w:spacing w:before="40" w:after="40" w:line="240" w:lineRule="auto"/>
              <w:rPr>
                <w:rFonts w:eastAsia="Times New Roman" w:cs="Times New Roman"/>
                <w:color w:val="000000"/>
                <w:sz w:val="18"/>
                <w:szCs w:val="18"/>
                <w:lang w:eastAsia="zh-CN" w:bidi="th-TH"/>
              </w:rPr>
            </w:pPr>
            <w:r>
              <w:rPr>
                <w:rFonts w:eastAsia="Times New Roman" w:cs="Times New Roman"/>
                <w:color w:val="000000"/>
                <w:sz w:val="18"/>
                <w:szCs w:val="18"/>
                <w:lang w:eastAsia="zh-CN" w:bidi="th-TH"/>
              </w:rPr>
              <w:t>The</w:t>
            </w:r>
            <w:r w:rsidR="00D0537A" w:rsidRPr="00D0537A">
              <w:rPr>
                <w:rFonts w:eastAsia="Times New Roman" w:cs="Times New Roman"/>
                <w:color w:val="000000"/>
                <w:sz w:val="18"/>
                <w:szCs w:val="18"/>
                <w:lang w:eastAsia="zh-CN" w:bidi="th-TH"/>
              </w:rPr>
              <w:t xml:space="preserve"> point at which a reinsurer's responsibility for a loss begins</w:t>
            </w:r>
            <w:r w:rsidR="001B77E3">
              <w:rPr>
                <w:rFonts w:eastAsia="Times New Roman" w:cs="Times New Roman"/>
                <w:color w:val="000000"/>
                <w:sz w:val="18"/>
                <w:szCs w:val="18"/>
                <w:lang w:eastAsia="zh-CN" w:bidi="th-TH"/>
              </w:rPr>
              <w:t>.</w:t>
            </w:r>
            <w:r w:rsidR="0093278B">
              <w:rPr>
                <w:rFonts w:eastAsia="Times New Roman" w:cs="Times New Roman"/>
                <w:color w:val="000000"/>
                <w:sz w:val="18"/>
                <w:szCs w:val="18"/>
                <w:lang w:eastAsia="zh-CN" w:bidi="th-TH"/>
              </w:rPr>
              <w:t xml:space="preserve"> In the graph above, we show the attachment point in terms of </w:t>
            </w:r>
            <w:r w:rsidR="00FA1A05">
              <w:rPr>
                <w:rFonts w:eastAsia="Times New Roman" w:cs="Times New Roman"/>
                <w:color w:val="000000"/>
                <w:sz w:val="18"/>
                <w:szCs w:val="18"/>
                <w:lang w:eastAsia="zh-CN" w:bidi="th-TH"/>
              </w:rPr>
              <w:t>the return period in years.</w:t>
            </w:r>
          </w:p>
        </w:tc>
      </w:tr>
      <w:tr w:rsidR="00CA43C4" w:rsidRPr="00CA43C4" w14:paraId="1513A04C" w14:textId="77777777" w:rsidTr="00EA5CD2">
        <w:trPr>
          <w:trHeight w:val="60"/>
        </w:trPr>
        <w:tc>
          <w:tcPr>
            <w:tcW w:w="1838" w:type="dxa"/>
            <w:noWrap/>
            <w:tcMar>
              <w:left w:w="57" w:type="dxa"/>
              <w:right w:w="57" w:type="dxa"/>
            </w:tcMar>
            <w:hideMark/>
          </w:tcPr>
          <w:p w14:paraId="704DEC14" w14:textId="7C738618" w:rsidR="00CA43C4" w:rsidRPr="00E64624" w:rsidRDefault="00CA43C4" w:rsidP="00E64624">
            <w:pPr>
              <w:spacing w:before="40" w:after="40" w:line="240" w:lineRule="auto"/>
              <w:rPr>
                <w:rFonts w:eastAsia="Times New Roman" w:cs="Times New Roman"/>
                <w:b/>
                <w:bCs/>
                <w:color w:val="000000"/>
                <w:sz w:val="18"/>
                <w:szCs w:val="18"/>
                <w:lang w:eastAsia="zh-CN" w:bidi="th-TH"/>
              </w:rPr>
            </w:pPr>
            <w:r w:rsidRPr="00E64624">
              <w:rPr>
                <w:rFonts w:eastAsia="Times New Roman" w:cs="Times New Roman"/>
                <w:b/>
                <w:bCs/>
                <w:color w:val="000000"/>
                <w:sz w:val="18"/>
                <w:szCs w:val="18"/>
                <w:lang w:eastAsia="zh-CN" w:bidi="th-TH"/>
              </w:rPr>
              <w:t xml:space="preserve">Exhaust </w:t>
            </w:r>
            <w:r w:rsidR="00930CFD" w:rsidRPr="00E64624">
              <w:rPr>
                <w:rFonts w:eastAsia="Times New Roman" w:cs="Times New Roman"/>
                <w:b/>
                <w:bCs/>
                <w:color w:val="000000"/>
                <w:sz w:val="18"/>
                <w:szCs w:val="18"/>
                <w:lang w:eastAsia="zh-CN" w:bidi="th-TH"/>
              </w:rPr>
              <w:t xml:space="preserve">historical </w:t>
            </w:r>
            <w:proofErr w:type="spellStart"/>
            <w:r w:rsidR="00930CFD" w:rsidRPr="00E64624">
              <w:rPr>
                <w:rFonts w:eastAsia="Times New Roman" w:cs="Times New Roman"/>
                <w:b/>
                <w:bCs/>
                <w:color w:val="000000"/>
                <w:sz w:val="18"/>
                <w:szCs w:val="18"/>
                <w:lang w:eastAsia="zh-CN" w:bidi="th-TH"/>
              </w:rPr>
              <w:t>avg</w:t>
            </w:r>
            <w:proofErr w:type="spellEnd"/>
          </w:p>
        </w:tc>
        <w:tc>
          <w:tcPr>
            <w:tcW w:w="7229" w:type="dxa"/>
            <w:noWrap/>
            <w:tcMar>
              <w:left w:w="57" w:type="dxa"/>
              <w:right w:w="57" w:type="dxa"/>
            </w:tcMar>
            <w:hideMark/>
          </w:tcPr>
          <w:p w14:paraId="7866A6A2" w14:textId="0264562C" w:rsidR="00CA43C4" w:rsidRPr="00EA5CD2" w:rsidRDefault="00C25405" w:rsidP="00E64624">
            <w:pPr>
              <w:spacing w:before="40" w:after="40" w:line="240" w:lineRule="auto"/>
              <w:rPr>
                <w:rFonts w:eastAsia="Times New Roman" w:cs="Times New Roman"/>
                <w:color w:val="000000"/>
                <w:sz w:val="18"/>
                <w:szCs w:val="18"/>
                <w:lang w:eastAsia="zh-CN" w:bidi="th-TH"/>
              </w:rPr>
            </w:pPr>
            <w:r>
              <w:rPr>
                <w:rFonts w:eastAsia="Times New Roman" w:cs="Times New Roman"/>
                <w:color w:val="000000"/>
                <w:sz w:val="18"/>
                <w:szCs w:val="18"/>
                <w:lang w:eastAsia="zh-CN" w:bidi="th-TH"/>
              </w:rPr>
              <w:t>The</w:t>
            </w:r>
            <w:r w:rsidR="0020353B">
              <w:rPr>
                <w:rFonts w:eastAsia="Times New Roman" w:cs="Times New Roman"/>
                <w:color w:val="000000"/>
                <w:sz w:val="18"/>
                <w:szCs w:val="18"/>
                <w:lang w:eastAsia="zh-CN" w:bidi="th-TH"/>
              </w:rPr>
              <w:t xml:space="preserve"> </w:t>
            </w:r>
            <w:r w:rsidR="00E25819">
              <w:rPr>
                <w:rFonts w:eastAsia="Times New Roman" w:cs="Times New Roman"/>
                <w:color w:val="000000"/>
                <w:sz w:val="18"/>
                <w:szCs w:val="18"/>
                <w:lang w:eastAsia="zh-CN" w:bidi="th-TH"/>
              </w:rPr>
              <w:t>historical</w:t>
            </w:r>
            <w:r w:rsidR="0020353B">
              <w:rPr>
                <w:rFonts w:eastAsia="Times New Roman" w:cs="Times New Roman"/>
                <w:color w:val="000000"/>
                <w:sz w:val="18"/>
                <w:szCs w:val="18"/>
                <w:lang w:eastAsia="zh-CN" w:bidi="th-TH"/>
              </w:rPr>
              <w:t xml:space="preserve"> average</w:t>
            </w:r>
            <w:r w:rsidR="00E25819">
              <w:rPr>
                <w:rFonts w:eastAsia="Times New Roman" w:cs="Times New Roman"/>
                <w:color w:val="000000"/>
                <w:sz w:val="18"/>
                <w:szCs w:val="18"/>
                <w:lang w:eastAsia="zh-CN" w:bidi="th-TH"/>
              </w:rPr>
              <w:t xml:space="preserve"> of</w:t>
            </w:r>
            <w:r w:rsidR="0020353B" w:rsidRPr="0020353B">
              <w:rPr>
                <w:rFonts w:eastAsia="Times New Roman" w:cs="Times New Roman"/>
                <w:color w:val="000000"/>
                <w:sz w:val="18"/>
                <w:szCs w:val="18"/>
                <w:lang w:eastAsia="zh-CN" w:bidi="th-TH"/>
              </w:rPr>
              <w:t xml:space="preserve"> the</w:t>
            </w:r>
            <w:r w:rsidR="00D73A41">
              <w:rPr>
                <w:rFonts w:eastAsia="Times New Roman" w:cs="Times New Roman"/>
                <w:color w:val="000000"/>
                <w:sz w:val="18"/>
                <w:szCs w:val="18"/>
                <w:lang w:eastAsia="zh-CN" w:bidi="th-TH"/>
              </w:rPr>
              <w:t xml:space="preserve"> return period (in years)</w:t>
            </w:r>
            <w:r w:rsidR="00AC296F">
              <w:rPr>
                <w:rFonts w:eastAsia="Times New Roman" w:cs="Times New Roman"/>
                <w:color w:val="000000"/>
                <w:sz w:val="18"/>
                <w:szCs w:val="18"/>
                <w:lang w:eastAsia="zh-CN" w:bidi="th-TH"/>
              </w:rPr>
              <w:t xml:space="preserve"> where the programme </w:t>
            </w:r>
            <w:r w:rsidR="00AC296F" w:rsidRPr="00AC296F">
              <w:rPr>
                <w:rFonts w:eastAsia="Times New Roman" w:cs="Times New Roman"/>
                <w:color w:val="000000"/>
                <w:sz w:val="18"/>
                <w:szCs w:val="18"/>
                <w:lang w:eastAsia="zh-CN" w:bidi="th-TH"/>
              </w:rPr>
              <w:t>reach</w:t>
            </w:r>
            <w:r w:rsidR="00EA5CD2">
              <w:rPr>
                <w:rFonts w:eastAsia="Times New Roman" w:cs="Times New Roman"/>
                <w:color w:val="000000"/>
                <w:sz w:val="18"/>
                <w:szCs w:val="18"/>
                <w:lang w:eastAsia="zh-CN" w:bidi="th-TH"/>
              </w:rPr>
              <w:t>es</w:t>
            </w:r>
            <w:r w:rsidR="00AC296F" w:rsidRPr="00AC296F">
              <w:rPr>
                <w:rFonts w:eastAsia="Times New Roman" w:cs="Times New Roman"/>
                <w:color w:val="000000"/>
                <w:sz w:val="18"/>
                <w:szCs w:val="18"/>
                <w:lang w:eastAsia="zh-CN" w:bidi="th-TH"/>
              </w:rPr>
              <w:t xml:space="preserve"> the limit of the coverage</w:t>
            </w:r>
            <w:r w:rsidR="00207545">
              <w:rPr>
                <w:rFonts w:eastAsia="Times New Roman" w:cs="Times New Roman"/>
                <w:color w:val="000000"/>
                <w:sz w:val="18"/>
                <w:szCs w:val="18"/>
                <w:lang w:eastAsia="zh-CN" w:bidi="th-TH"/>
              </w:rPr>
              <w:t>.</w:t>
            </w:r>
          </w:p>
        </w:tc>
      </w:tr>
    </w:tbl>
    <w:p w14:paraId="7AEBF531" w14:textId="401443C5" w:rsidR="00AF08C5" w:rsidRPr="00AF08C5" w:rsidRDefault="00AF08C5" w:rsidP="00D675DA">
      <w:pPr>
        <w:rPr>
          <w:sz w:val="18"/>
          <w:szCs w:val="16"/>
          <w:lang w:val="en-AU"/>
        </w:rPr>
      </w:pPr>
      <w:r w:rsidRPr="00AF08C5">
        <w:rPr>
          <w:sz w:val="18"/>
          <w:szCs w:val="16"/>
          <w:lang w:val="en-AU"/>
        </w:rPr>
        <w:t>Note: Attachment and Exit Points modelled in RMS Risk Link. Source: Aon Reinsurance Solutions</w:t>
      </w:r>
      <w:r w:rsidR="004668A3">
        <w:rPr>
          <w:sz w:val="18"/>
          <w:szCs w:val="16"/>
          <w:lang w:val="en-AU"/>
        </w:rPr>
        <w:t>,</w:t>
      </w:r>
      <w:r w:rsidRPr="00AF08C5" w:rsidDel="004668A3">
        <w:rPr>
          <w:sz w:val="18"/>
          <w:szCs w:val="16"/>
          <w:lang w:val="en-AU"/>
        </w:rPr>
        <w:t xml:space="preserve"> </w:t>
      </w:r>
      <w:r w:rsidRPr="00AF08C5">
        <w:rPr>
          <w:sz w:val="18"/>
          <w:szCs w:val="16"/>
          <w:lang w:val="en-AU"/>
        </w:rPr>
        <w:t>August 2025</w:t>
      </w:r>
    </w:p>
    <w:p w14:paraId="28A6D0FA" w14:textId="22D4A79B" w:rsidR="00E02DD2" w:rsidRPr="00FB4526" w:rsidRDefault="00E02DD2" w:rsidP="00166A61">
      <w:pPr>
        <w:spacing w:after="120"/>
      </w:pPr>
      <w:r w:rsidRPr="00FB4526">
        <w:t xml:space="preserve"> </w:t>
      </w:r>
      <w:r w:rsidR="00FE321E" w:rsidRPr="00FB4526">
        <w:t xml:space="preserve">The </w:t>
      </w:r>
      <w:r w:rsidR="000D3809">
        <w:t>catastrophe</w:t>
      </w:r>
      <w:r w:rsidR="000D3809" w:rsidRPr="00FB4526">
        <w:t xml:space="preserve"> </w:t>
      </w:r>
      <w:r w:rsidR="00FE321E" w:rsidRPr="00FB4526">
        <w:t>bond market</w:t>
      </w:r>
      <w:r w:rsidR="002549A1">
        <w:t>,</w:t>
      </w:r>
      <w:r w:rsidR="00FE321E" w:rsidRPr="00FB4526">
        <w:t xml:space="preserve"> </w:t>
      </w:r>
      <w:r w:rsidR="00FB419C">
        <w:t xml:space="preserve">which has grown to </w:t>
      </w:r>
      <w:r w:rsidR="00F033B2">
        <w:t>over US$</w:t>
      </w:r>
      <w:r w:rsidR="00577063">
        <w:t>6</w:t>
      </w:r>
      <w:r w:rsidR="00F033B2">
        <w:t>5 billion as at June 202</w:t>
      </w:r>
      <w:r w:rsidR="00577063">
        <w:t>6</w:t>
      </w:r>
      <w:r w:rsidR="00F033B2">
        <w:t xml:space="preserve">, </w:t>
      </w:r>
      <w:r w:rsidR="00FE321E" w:rsidRPr="00FB4526">
        <w:t xml:space="preserve">is </w:t>
      </w:r>
      <w:r w:rsidR="002549A1">
        <w:t>a</w:t>
      </w:r>
      <w:r w:rsidR="00AA6EA3">
        <w:t xml:space="preserve"> </w:t>
      </w:r>
      <w:r w:rsidR="00FE321E" w:rsidRPr="00FB4526">
        <w:t>s</w:t>
      </w:r>
      <w:r w:rsidR="006A2306" w:rsidRPr="00FB4526">
        <w:t>ource of</w:t>
      </w:r>
      <w:r w:rsidR="00FE321E" w:rsidRPr="00FB4526">
        <w:t xml:space="preserve"> </w:t>
      </w:r>
      <w:r w:rsidR="00AA6EA3">
        <w:t xml:space="preserve">potential </w:t>
      </w:r>
      <w:r w:rsidR="00824748">
        <w:t>risk transfer</w:t>
      </w:r>
      <w:r w:rsidR="00824748" w:rsidRPr="00FB4526">
        <w:t xml:space="preserve"> </w:t>
      </w:r>
      <w:r w:rsidR="00FE321E" w:rsidRPr="00FB4526">
        <w:t xml:space="preserve">capital for </w:t>
      </w:r>
      <w:r w:rsidR="006A2306" w:rsidRPr="00FB4526">
        <w:t>our</w:t>
      </w:r>
      <w:r w:rsidR="00FE321E" w:rsidRPr="00FB4526">
        <w:t xml:space="preserve"> programme</w:t>
      </w:r>
      <w:r w:rsidR="000D3809">
        <w:t xml:space="preserve"> over the long term</w:t>
      </w:r>
      <w:r w:rsidR="00AA6EA3">
        <w:t>.</w:t>
      </w:r>
      <w:r w:rsidR="004679BC" w:rsidRPr="00FB4526">
        <w:t xml:space="preserve"> </w:t>
      </w:r>
      <w:r w:rsidR="000D3809" w:rsidRPr="00FB4526">
        <w:t>In 2023</w:t>
      </w:r>
      <w:r w:rsidR="000D3809">
        <w:t>,</w:t>
      </w:r>
      <w:r w:rsidR="000D3809" w:rsidRPr="00FB4526">
        <w:t xml:space="preserve"> we successfully piloted </w:t>
      </w:r>
      <w:r w:rsidR="00A22B2E">
        <w:t xml:space="preserve">an initial </w:t>
      </w:r>
      <w:r w:rsidR="000D3809">
        <w:t>cat bonds.</w:t>
      </w:r>
      <w:r w:rsidR="00A22B2E">
        <w:t xml:space="preserve"> </w:t>
      </w:r>
      <w:r w:rsidR="00D312FE">
        <w:t>Since 2024, the o</w:t>
      </w:r>
      <w:r w:rsidR="00972EE4">
        <w:t xml:space="preserve">ngoing strength of support from the traditional </w:t>
      </w:r>
      <w:r w:rsidR="00844B67">
        <w:t xml:space="preserve">reinsurance market </w:t>
      </w:r>
      <w:r w:rsidR="000568E7">
        <w:t xml:space="preserve">as well as </w:t>
      </w:r>
      <w:r w:rsidR="00844B67">
        <w:t>other organisational strategic priorities</w:t>
      </w:r>
      <w:r w:rsidR="000568E7">
        <w:t xml:space="preserve"> for NHC have meant we </w:t>
      </w:r>
      <w:r w:rsidR="00CE7A34">
        <w:t xml:space="preserve">have not returned to the cat bond market.  </w:t>
      </w:r>
      <w:r w:rsidR="00150ABE">
        <w:t xml:space="preserve">This </w:t>
      </w:r>
      <w:r w:rsidR="00B3493F">
        <w:t xml:space="preserve">market remains of long-term strategic interest to the organisation as a source of diversified </w:t>
      </w:r>
      <w:r w:rsidR="0054523A">
        <w:t>capacity for the overall risk transfer programme.</w:t>
      </w:r>
    </w:p>
    <w:p w14:paraId="43B9780B" w14:textId="37276FFB" w:rsidR="00F87478" w:rsidRPr="00164F06" w:rsidRDefault="00565F1B" w:rsidP="00F87478">
      <w:r w:rsidRPr="00164F06">
        <w:t xml:space="preserve">In February 2026 we developed the </w:t>
      </w:r>
      <w:r w:rsidR="003B0F60" w:rsidRPr="00164F06">
        <w:t>Reinsurance Management Strategy (</w:t>
      </w:r>
      <w:r w:rsidR="00F87478" w:rsidRPr="00164F06">
        <w:t>REMS</w:t>
      </w:r>
      <w:r w:rsidR="003B0F60" w:rsidRPr="00164F06">
        <w:t>)</w:t>
      </w:r>
      <w:r w:rsidR="00B6101B" w:rsidRPr="00164F06">
        <w:t xml:space="preserve"> to </w:t>
      </w:r>
      <w:r w:rsidR="00F87478" w:rsidRPr="00164F06">
        <w:t xml:space="preserve">help guide the placement of </w:t>
      </w:r>
      <w:r w:rsidR="00583FA4" w:rsidRPr="00164F06">
        <w:t>our</w:t>
      </w:r>
      <w:r w:rsidR="00F87478" w:rsidRPr="00164F06">
        <w:t xml:space="preserve"> risk transfer programme</w:t>
      </w:r>
      <w:r w:rsidR="00017FB5" w:rsidRPr="00164F06">
        <w:t>. The REMS</w:t>
      </w:r>
      <w:r w:rsidR="00F87478" w:rsidRPr="00164F06">
        <w:t xml:space="preserve"> </w:t>
      </w:r>
      <w:r w:rsidR="00A4406B" w:rsidRPr="00164F06">
        <w:t>outlin</w:t>
      </w:r>
      <w:r w:rsidR="00017FB5" w:rsidRPr="00164F06">
        <w:t>es</w:t>
      </w:r>
      <w:r w:rsidR="00F87478" w:rsidRPr="00164F06">
        <w:t xml:space="preserve"> the Board’s risk appetite</w:t>
      </w:r>
      <w:r w:rsidR="00C10EBA" w:rsidRPr="00164F06">
        <w:t xml:space="preserve"> which seeks to balance Crown protection, </w:t>
      </w:r>
      <w:r w:rsidR="00E64624" w:rsidRPr="00164F06">
        <w:t>NHI s</w:t>
      </w:r>
      <w:r w:rsidR="00C10EBA" w:rsidRPr="00164F06">
        <w:t>cheme resilience, and cost effectiveness</w:t>
      </w:r>
      <w:r w:rsidR="00F87478" w:rsidRPr="00164F06">
        <w:t xml:space="preserve">.  </w:t>
      </w:r>
    </w:p>
    <w:p w14:paraId="737DD228" w14:textId="77777777" w:rsidR="001538FF" w:rsidRDefault="001538FF">
      <w:pPr>
        <w:spacing w:before="0" w:line="259" w:lineRule="auto"/>
      </w:pPr>
      <w:r>
        <w:br w:type="page"/>
      </w:r>
    </w:p>
    <w:p w14:paraId="45902988" w14:textId="1E4C62FA" w:rsidR="00857A5A" w:rsidRPr="00164F06" w:rsidRDefault="00583FA4" w:rsidP="00857A5A">
      <w:r w:rsidRPr="00164F06">
        <w:lastRenderedPageBreak/>
        <w:t>We are</w:t>
      </w:r>
      <w:r w:rsidR="00857A5A" w:rsidRPr="00164F06">
        <w:t xml:space="preserve"> willing to accept financial risk </w:t>
      </w:r>
      <w:r w:rsidR="0015031E" w:rsidRPr="00164F06">
        <w:t xml:space="preserve">where </w:t>
      </w:r>
      <w:r w:rsidR="00017FB5" w:rsidRPr="00164F06">
        <w:t>it</w:t>
      </w:r>
      <w:r w:rsidR="00857A5A" w:rsidRPr="00164F06">
        <w:t xml:space="preserve"> supports:</w:t>
      </w:r>
    </w:p>
    <w:p w14:paraId="46961C46" w14:textId="532EB3C2" w:rsidR="00857A5A" w:rsidRPr="00164F06" w:rsidRDefault="00D44903" w:rsidP="00017FB5">
      <w:pPr>
        <w:pStyle w:val="AonBodyCopy"/>
        <w:numPr>
          <w:ilvl w:val="0"/>
          <w:numId w:val="10"/>
        </w:numPr>
        <w:spacing w:after="120"/>
      </w:pPr>
      <w:r w:rsidRPr="00164F06">
        <w:rPr>
          <w:rFonts w:ascii="Source Sans Pro" w:eastAsiaTheme="minorHAnsi" w:hAnsi="Source Sans Pro" w:cstheme="minorBidi"/>
          <w:color w:val="000000" w:themeColor="text1"/>
          <w:sz w:val="24"/>
          <w:szCs w:val="22"/>
        </w:rPr>
        <w:t>o</w:t>
      </w:r>
      <w:r w:rsidR="00857A5A" w:rsidRPr="00164F06">
        <w:rPr>
          <w:rFonts w:ascii="Source Sans Pro" w:eastAsiaTheme="minorHAnsi" w:hAnsi="Source Sans Pro" w:cstheme="minorBidi"/>
          <w:color w:val="000000" w:themeColor="text1"/>
          <w:sz w:val="24"/>
          <w:szCs w:val="22"/>
        </w:rPr>
        <w:t xml:space="preserve">perating a cost effective, efficient risk transfer programme that focuses on natural hazard perils covered by the </w:t>
      </w:r>
      <w:r w:rsidR="00E64624" w:rsidRPr="00164F06">
        <w:rPr>
          <w:rFonts w:ascii="Source Sans Pro" w:eastAsiaTheme="minorHAnsi" w:hAnsi="Source Sans Pro" w:cstheme="minorBidi"/>
          <w:color w:val="000000" w:themeColor="text1"/>
          <w:sz w:val="24"/>
          <w:szCs w:val="22"/>
        </w:rPr>
        <w:t>NHI Act</w:t>
      </w:r>
      <w:r w:rsidR="00857A5A" w:rsidRPr="00164F06">
        <w:rPr>
          <w:rFonts w:ascii="Source Sans Pro" w:eastAsiaTheme="minorHAnsi" w:hAnsi="Source Sans Pro" w:cstheme="minorBidi"/>
          <w:color w:val="000000" w:themeColor="text1"/>
          <w:sz w:val="24"/>
          <w:szCs w:val="22"/>
        </w:rPr>
        <w:t>, with attritional losses</w:t>
      </w:r>
      <w:r w:rsidR="00AA53F1">
        <w:rPr>
          <w:rStyle w:val="FootnoteReference"/>
          <w:rFonts w:ascii="Source Sans Pro" w:eastAsiaTheme="minorHAnsi" w:hAnsi="Source Sans Pro" w:cstheme="minorBidi"/>
          <w:color w:val="000000" w:themeColor="text1"/>
          <w:sz w:val="24"/>
          <w:szCs w:val="22"/>
        </w:rPr>
        <w:footnoteReference w:id="4"/>
      </w:r>
      <w:r w:rsidR="00857A5A" w:rsidRPr="00164F06">
        <w:rPr>
          <w:rFonts w:ascii="Source Sans Pro" w:eastAsiaTheme="minorHAnsi" w:hAnsi="Source Sans Pro" w:cstheme="minorBidi"/>
          <w:color w:val="000000" w:themeColor="text1"/>
          <w:sz w:val="24"/>
          <w:szCs w:val="22"/>
        </w:rPr>
        <w:t xml:space="preserve"> managed through reserves and </w:t>
      </w:r>
      <w:r w:rsidR="00164F06" w:rsidRPr="00164F06">
        <w:rPr>
          <w:rFonts w:ascii="Source Sans Pro" w:eastAsiaTheme="minorHAnsi" w:hAnsi="Source Sans Pro" w:cstheme="minorBidi"/>
          <w:color w:val="000000" w:themeColor="text1"/>
          <w:sz w:val="24"/>
          <w:szCs w:val="22"/>
        </w:rPr>
        <w:t xml:space="preserve">levy </w:t>
      </w:r>
      <w:r w:rsidR="00857A5A" w:rsidRPr="00164F06">
        <w:rPr>
          <w:rFonts w:ascii="Source Sans Pro" w:eastAsiaTheme="minorHAnsi" w:hAnsi="Source Sans Pro" w:cstheme="minorBidi"/>
          <w:color w:val="000000" w:themeColor="text1"/>
          <w:sz w:val="24"/>
          <w:szCs w:val="22"/>
        </w:rPr>
        <w:t>income</w:t>
      </w:r>
    </w:p>
    <w:p w14:paraId="07C7896B" w14:textId="5D73CAF4" w:rsidR="00857A5A" w:rsidRPr="00164F06" w:rsidRDefault="00857A5A" w:rsidP="00017FB5">
      <w:pPr>
        <w:pStyle w:val="AonBodyCopy"/>
        <w:numPr>
          <w:ilvl w:val="0"/>
          <w:numId w:val="10"/>
        </w:numPr>
        <w:spacing w:after="120"/>
      </w:pPr>
      <w:r w:rsidRPr="00164F06">
        <w:rPr>
          <w:rFonts w:ascii="Source Sans Pro" w:eastAsiaTheme="minorHAnsi" w:hAnsi="Source Sans Pro" w:cstheme="minorBidi"/>
          <w:color w:val="000000" w:themeColor="text1"/>
          <w:sz w:val="24"/>
          <w:szCs w:val="22"/>
        </w:rPr>
        <w:t xml:space="preserve">using risk transfer, alongside retained earnings, as a primary tool to protect the </w:t>
      </w:r>
      <w:r w:rsidR="00E64624" w:rsidRPr="00164F06">
        <w:rPr>
          <w:rFonts w:ascii="Source Sans Pro" w:eastAsiaTheme="minorHAnsi" w:hAnsi="Source Sans Pro" w:cstheme="minorBidi"/>
          <w:color w:val="000000" w:themeColor="text1"/>
          <w:sz w:val="24"/>
          <w:szCs w:val="22"/>
        </w:rPr>
        <w:t>NHI s</w:t>
      </w:r>
      <w:r w:rsidRPr="00164F06">
        <w:rPr>
          <w:rFonts w:ascii="Source Sans Pro" w:eastAsiaTheme="minorHAnsi" w:hAnsi="Source Sans Pro" w:cstheme="minorBidi"/>
          <w:color w:val="000000" w:themeColor="text1"/>
          <w:sz w:val="24"/>
          <w:szCs w:val="22"/>
        </w:rPr>
        <w:t xml:space="preserve">cheme and the Crown balance sheet while the </w:t>
      </w:r>
      <w:r w:rsidR="00E64624" w:rsidRPr="00164F06">
        <w:rPr>
          <w:rFonts w:ascii="Source Sans Pro" w:eastAsiaTheme="minorHAnsi" w:hAnsi="Source Sans Pro" w:cstheme="minorBidi"/>
          <w:color w:val="000000" w:themeColor="text1"/>
          <w:sz w:val="24"/>
          <w:szCs w:val="22"/>
        </w:rPr>
        <w:t>NHF</w:t>
      </w:r>
      <w:r w:rsidRPr="00164F06">
        <w:rPr>
          <w:rFonts w:ascii="Source Sans Pro" w:eastAsiaTheme="minorHAnsi" w:hAnsi="Source Sans Pro" w:cstheme="minorBidi"/>
          <w:color w:val="000000" w:themeColor="text1"/>
          <w:sz w:val="24"/>
          <w:szCs w:val="22"/>
        </w:rPr>
        <w:t xml:space="preserve"> grows from its current low base</w:t>
      </w:r>
    </w:p>
    <w:p w14:paraId="0CEF7523" w14:textId="7F164E64" w:rsidR="00857A5A" w:rsidRPr="00164F06" w:rsidRDefault="00857A5A" w:rsidP="00017FB5">
      <w:pPr>
        <w:pStyle w:val="AonBodyCopy"/>
        <w:numPr>
          <w:ilvl w:val="0"/>
          <w:numId w:val="10"/>
        </w:numPr>
        <w:spacing w:after="120"/>
      </w:pPr>
      <w:r w:rsidRPr="00164F06">
        <w:rPr>
          <w:rFonts w:ascii="Source Sans Pro" w:eastAsiaTheme="minorHAnsi" w:hAnsi="Source Sans Pro" w:cstheme="minorBidi"/>
          <w:color w:val="000000" w:themeColor="text1"/>
          <w:sz w:val="24"/>
          <w:szCs w:val="22"/>
        </w:rPr>
        <w:t>maintaining multi</w:t>
      </w:r>
      <w:r w:rsidR="00E64624" w:rsidRPr="00164F06">
        <w:rPr>
          <w:rFonts w:ascii="Source Sans Pro" w:eastAsiaTheme="minorHAnsi" w:hAnsi="Source Sans Pro" w:cstheme="minorBidi"/>
          <w:color w:val="000000" w:themeColor="text1"/>
          <w:sz w:val="24"/>
          <w:szCs w:val="22"/>
        </w:rPr>
        <w:t>-</w:t>
      </w:r>
      <w:r w:rsidRPr="00164F06">
        <w:rPr>
          <w:rFonts w:ascii="Source Sans Pro" w:eastAsiaTheme="minorHAnsi" w:hAnsi="Source Sans Pro" w:cstheme="minorBidi"/>
          <w:color w:val="000000" w:themeColor="text1"/>
          <w:sz w:val="24"/>
          <w:szCs w:val="22"/>
        </w:rPr>
        <w:t xml:space="preserve">year, </w:t>
      </w:r>
      <w:r w:rsidR="001538FF" w:rsidRPr="00164F06">
        <w:rPr>
          <w:rFonts w:ascii="Source Sans Pro" w:eastAsiaTheme="minorHAnsi" w:hAnsi="Source Sans Pro" w:cstheme="minorBidi"/>
          <w:color w:val="000000" w:themeColor="text1"/>
          <w:sz w:val="24"/>
          <w:szCs w:val="22"/>
        </w:rPr>
        <w:t>high-quality</w:t>
      </w:r>
      <w:r w:rsidRPr="00164F06">
        <w:rPr>
          <w:rFonts w:ascii="Source Sans Pro" w:eastAsiaTheme="minorHAnsi" w:hAnsi="Source Sans Pro" w:cstheme="minorBidi"/>
          <w:color w:val="000000" w:themeColor="text1"/>
          <w:sz w:val="24"/>
          <w:szCs w:val="22"/>
        </w:rPr>
        <w:t xml:space="preserve"> partnerships with reinsurers and other capital providers and securing reinstatement cover to ensure protection against multiple events in a single treaty year.</w:t>
      </w:r>
    </w:p>
    <w:p w14:paraId="596D7A15" w14:textId="1F6B9A71" w:rsidR="00857A5A" w:rsidRPr="00164F06" w:rsidRDefault="00583FA4" w:rsidP="00017FB5">
      <w:pPr>
        <w:pStyle w:val="AonBodyCopy"/>
        <w:spacing w:after="120"/>
      </w:pPr>
      <w:r w:rsidRPr="00164F06">
        <w:rPr>
          <w:rFonts w:ascii="Source Sans Pro" w:eastAsiaTheme="minorHAnsi" w:hAnsi="Source Sans Pro" w:cstheme="minorBidi"/>
          <w:color w:val="000000" w:themeColor="text1"/>
          <w:sz w:val="24"/>
          <w:szCs w:val="22"/>
        </w:rPr>
        <w:t>We are</w:t>
      </w:r>
      <w:r w:rsidR="00857A5A" w:rsidRPr="00164F06">
        <w:rPr>
          <w:rFonts w:ascii="Source Sans Pro" w:eastAsiaTheme="minorHAnsi" w:hAnsi="Source Sans Pro" w:cstheme="minorBidi"/>
          <w:color w:val="000000" w:themeColor="text1"/>
          <w:sz w:val="24"/>
          <w:szCs w:val="22"/>
        </w:rPr>
        <w:t xml:space="preserve"> not willing to accept financial risk that would:</w:t>
      </w:r>
    </w:p>
    <w:p w14:paraId="57F16493" w14:textId="7E10A71B" w:rsidR="00857A5A" w:rsidRPr="00164F06" w:rsidRDefault="00857A5A" w:rsidP="00017FB5">
      <w:pPr>
        <w:pStyle w:val="AonBodyCopy"/>
        <w:numPr>
          <w:ilvl w:val="0"/>
          <w:numId w:val="10"/>
        </w:numPr>
        <w:spacing w:after="120"/>
      </w:pPr>
      <w:r w:rsidRPr="00164F06">
        <w:rPr>
          <w:rFonts w:ascii="Source Sans Pro" w:eastAsiaTheme="minorHAnsi" w:hAnsi="Source Sans Pro" w:cstheme="minorBidi"/>
          <w:color w:val="000000" w:themeColor="text1"/>
          <w:sz w:val="24"/>
          <w:szCs w:val="22"/>
        </w:rPr>
        <w:t xml:space="preserve">materially increase the likelihood of a draw on the Crown guarantee beyond levels outlined in the FRMS </w:t>
      </w:r>
    </w:p>
    <w:p w14:paraId="62AC3949" w14:textId="56706AE7" w:rsidR="00857A5A" w:rsidRPr="00164F06" w:rsidRDefault="00857A5A" w:rsidP="00017FB5">
      <w:pPr>
        <w:pStyle w:val="AonBodyCopy"/>
        <w:numPr>
          <w:ilvl w:val="0"/>
          <w:numId w:val="10"/>
        </w:numPr>
        <w:spacing w:after="120"/>
      </w:pPr>
      <w:r w:rsidRPr="00164F06">
        <w:rPr>
          <w:rFonts w:ascii="Source Sans Pro" w:eastAsiaTheme="minorHAnsi" w:hAnsi="Source Sans Pro" w:cstheme="minorBidi"/>
          <w:color w:val="000000" w:themeColor="text1"/>
          <w:sz w:val="24"/>
          <w:szCs w:val="22"/>
        </w:rPr>
        <w:t xml:space="preserve">compromise the efficiency, effectiveness, or market alignment of the risk transfer programme, including underinvestment in risk transfer capacity needed to maintain </w:t>
      </w:r>
      <w:r w:rsidR="00583FA4" w:rsidRPr="00164F06">
        <w:rPr>
          <w:rFonts w:ascii="Source Sans Pro" w:eastAsiaTheme="minorHAnsi" w:hAnsi="Source Sans Pro" w:cstheme="minorBidi"/>
          <w:color w:val="000000" w:themeColor="text1"/>
          <w:sz w:val="24"/>
          <w:szCs w:val="22"/>
        </w:rPr>
        <w:t>NHI s</w:t>
      </w:r>
      <w:r w:rsidRPr="00164F06">
        <w:rPr>
          <w:rFonts w:ascii="Source Sans Pro" w:eastAsiaTheme="minorHAnsi" w:hAnsi="Source Sans Pro" w:cstheme="minorBidi"/>
          <w:color w:val="000000" w:themeColor="text1"/>
          <w:sz w:val="24"/>
          <w:szCs w:val="22"/>
        </w:rPr>
        <w:t>cheme resilience</w:t>
      </w:r>
    </w:p>
    <w:p w14:paraId="305119AD" w14:textId="7C5D5934" w:rsidR="002D6763" w:rsidRPr="00164F06" w:rsidRDefault="00857A5A" w:rsidP="00017FB5">
      <w:pPr>
        <w:pStyle w:val="AonBodyCopy"/>
        <w:numPr>
          <w:ilvl w:val="0"/>
          <w:numId w:val="10"/>
        </w:numPr>
        <w:spacing w:after="120"/>
      </w:pPr>
      <w:r w:rsidRPr="00164F06">
        <w:rPr>
          <w:rFonts w:ascii="Source Sans Pro" w:eastAsiaTheme="minorHAnsi" w:hAnsi="Source Sans Pro" w:cstheme="minorBidi"/>
          <w:color w:val="000000" w:themeColor="text1"/>
          <w:sz w:val="24"/>
          <w:szCs w:val="22"/>
        </w:rPr>
        <w:t xml:space="preserve">reduce protection for the </w:t>
      </w:r>
      <w:r w:rsidR="00583FA4" w:rsidRPr="00164F06">
        <w:rPr>
          <w:rFonts w:ascii="Source Sans Pro" w:eastAsiaTheme="minorHAnsi" w:hAnsi="Source Sans Pro" w:cstheme="minorBidi"/>
          <w:color w:val="000000" w:themeColor="text1"/>
          <w:sz w:val="24"/>
          <w:szCs w:val="22"/>
        </w:rPr>
        <w:t>NHI s</w:t>
      </w:r>
      <w:r w:rsidRPr="00164F06">
        <w:rPr>
          <w:rFonts w:ascii="Source Sans Pro" w:eastAsiaTheme="minorHAnsi" w:hAnsi="Source Sans Pro" w:cstheme="minorBidi"/>
          <w:color w:val="000000" w:themeColor="text1"/>
          <w:sz w:val="24"/>
          <w:szCs w:val="22"/>
        </w:rPr>
        <w:t>cheme or Crown balance sheet by setting risk transfer parameters below those required to align with the Board’s risk appetite and market realities.</w:t>
      </w:r>
    </w:p>
    <w:p w14:paraId="37051602" w14:textId="1FF69C8F" w:rsidR="00535170" w:rsidRPr="00164F06" w:rsidRDefault="00FB1CC2" w:rsidP="00535170">
      <w:pPr>
        <w:pStyle w:val="AonBodyCopy"/>
        <w:spacing w:after="120"/>
        <w:rPr>
          <w:rFonts w:ascii="Source Sans Pro" w:eastAsiaTheme="minorHAnsi" w:hAnsi="Source Sans Pro" w:cstheme="minorBidi"/>
          <w:color w:val="000000" w:themeColor="text1"/>
          <w:sz w:val="24"/>
          <w:szCs w:val="22"/>
        </w:rPr>
      </w:pPr>
      <w:r w:rsidRPr="00164F06">
        <w:rPr>
          <w:rFonts w:ascii="Source Sans Pro" w:eastAsiaTheme="minorHAnsi" w:hAnsi="Source Sans Pro" w:cstheme="minorBidi"/>
          <w:color w:val="000000" w:themeColor="text1"/>
          <w:sz w:val="24"/>
          <w:szCs w:val="22"/>
        </w:rPr>
        <w:t>The</w:t>
      </w:r>
      <w:r w:rsidR="003E1724" w:rsidRPr="00164F06">
        <w:rPr>
          <w:rFonts w:ascii="Source Sans Pro" w:eastAsiaTheme="minorHAnsi" w:hAnsi="Source Sans Pro" w:cstheme="minorBidi"/>
          <w:color w:val="000000" w:themeColor="text1"/>
          <w:sz w:val="24"/>
          <w:szCs w:val="22"/>
        </w:rPr>
        <w:t xml:space="preserve"> following</w:t>
      </w:r>
      <w:r w:rsidR="00535170" w:rsidRPr="00164F06">
        <w:rPr>
          <w:rFonts w:ascii="Source Sans Pro" w:eastAsiaTheme="minorHAnsi" w:hAnsi="Source Sans Pro" w:cstheme="minorBidi"/>
          <w:color w:val="000000" w:themeColor="text1"/>
          <w:sz w:val="24"/>
          <w:szCs w:val="22"/>
        </w:rPr>
        <w:t xml:space="preserve"> principles</w:t>
      </w:r>
      <w:r w:rsidRPr="00164F06">
        <w:rPr>
          <w:rFonts w:ascii="Source Sans Pro" w:eastAsiaTheme="minorHAnsi" w:hAnsi="Source Sans Pro" w:cstheme="minorBidi"/>
          <w:color w:val="000000" w:themeColor="text1"/>
          <w:sz w:val="24"/>
          <w:szCs w:val="22"/>
        </w:rPr>
        <w:t xml:space="preserve"> guide our long-term approach to risk transfer</w:t>
      </w:r>
      <w:r w:rsidR="00535170" w:rsidRPr="00164F06">
        <w:rPr>
          <w:rFonts w:ascii="Source Sans Pro" w:eastAsiaTheme="minorHAnsi" w:hAnsi="Source Sans Pro" w:cstheme="minorBidi"/>
          <w:color w:val="000000" w:themeColor="text1"/>
          <w:sz w:val="24"/>
          <w:szCs w:val="22"/>
        </w:rPr>
        <w:t xml:space="preserve">: </w:t>
      </w:r>
    </w:p>
    <w:p w14:paraId="592A2AB5" w14:textId="479E4833" w:rsidR="00535170" w:rsidRPr="00164F06" w:rsidRDefault="009D575E" w:rsidP="003C41FC">
      <w:pPr>
        <w:pStyle w:val="AonBodyCopy"/>
        <w:numPr>
          <w:ilvl w:val="0"/>
          <w:numId w:val="10"/>
        </w:numPr>
        <w:spacing w:after="120"/>
        <w:rPr>
          <w:rFonts w:ascii="Source Sans Pro" w:eastAsiaTheme="minorHAnsi" w:hAnsi="Source Sans Pro" w:cstheme="minorBidi"/>
          <w:color w:val="000000" w:themeColor="text1"/>
          <w:sz w:val="24"/>
          <w:szCs w:val="22"/>
        </w:rPr>
      </w:pPr>
      <w:r w:rsidRPr="00164F06">
        <w:rPr>
          <w:rFonts w:ascii="Source Sans Pro" w:eastAsiaTheme="minorHAnsi" w:hAnsi="Source Sans Pro" w:cstheme="minorBidi"/>
          <w:color w:val="000000" w:themeColor="text1"/>
          <w:sz w:val="24"/>
          <w:szCs w:val="22"/>
        </w:rPr>
        <w:t>P</w:t>
      </w:r>
      <w:r w:rsidR="00535170" w:rsidRPr="00164F06">
        <w:rPr>
          <w:rFonts w:ascii="Source Sans Pro" w:eastAsiaTheme="minorHAnsi" w:hAnsi="Source Sans Pro" w:cstheme="minorBidi"/>
          <w:color w:val="000000" w:themeColor="text1"/>
          <w:sz w:val="24"/>
          <w:szCs w:val="22"/>
        </w:rPr>
        <w:t xml:space="preserve">rovide nationwide coverage for all perils and on the same terms as the </w:t>
      </w:r>
      <w:r w:rsidR="00583FA4" w:rsidRPr="00164F06">
        <w:rPr>
          <w:rFonts w:ascii="Source Sans Pro" w:eastAsiaTheme="minorHAnsi" w:hAnsi="Source Sans Pro" w:cstheme="minorBidi"/>
          <w:color w:val="000000" w:themeColor="text1"/>
          <w:sz w:val="24"/>
          <w:szCs w:val="22"/>
        </w:rPr>
        <w:t>NHI Act</w:t>
      </w:r>
      <w:r w:rsidR="000D5034" w:rsidRPr="00164F06">
        <w:rPr>
          <w:rFonts w:ascii="Source Sans Pro" w:eastAsiaTheme="minorHAnsi" w:hAnsi="Source Sans Pro" w:cstheme="minorBidi"/>
          <w:color w:val="000000" w:themeColor="text1"/>
          <w:sz w:val="24"/>
          <w:szCs w:val="22"/>
        </w:rPr>
        <w:t>.</w:t>
      </w:r>
    </w:p>
    <w:p w14:paraId="41B555BE" w14:textId="41B2FA22" w:rsidR="00535170" w:rsidRPr="00164F06" w:rsidRDefault="000D5034" w:rsidP="003C41FC">
      <w:pPr>
        <w:pStyle w:val="AonBodyCopy"/>
        <w:numPr>
          <w:ilvl w:val="0"/>
          <w:numId w:val="10"/>
        </w:numPr>
        <w:spacing w:after="120"/>
        <w:rPr>
          <w:rFonts w:ascii="Source Sans Pro" w:eastAsiaTheme="minorHAnsi" w:hAnsi="Source Sans Pro" w:cstheme="minorBidi"/>
          <w:color w:val="000000" w:themeColor="text1"/>
          <w:sz w:val="24"/>
          <w:szCs w:val="22"/>
        </w:rPr>
      </w:pPr>
      <w:r w:rsidRPr="00164F06">
        <w:rPr>
          <w:rFonts w:ascii="Source Sans Pro" w:eastAsiaTheme="minorHAnsi" w:hAnsi="Source Sans Pro" w:cstheme="minorBidi"/>
          <w:color w:val="000000" w:themeColor="text1"/>
          <w:sz w:val="24"/>
          <w:szCs w:val="22"/>
        </w:rPr>
        <w:t>F</w:t>
      </w:r>
      <w:r w:rsidR="00535170" w:rsidRPr="00164F06">
        <w:rPr>
          <w:rFonts w:ascii="Source Sans Pro" w:eastAsiaTheme="minorHAnsi" w:hAnsi="Source Sans Pro" w:cstheme="minorBidi"/>
          <w:color w:val="000000" w:themeColor="text1"/>
          <w:sz w:val="24"/>
          <w:szCs w:val="22"/>
        </w:rPr>
        <w:t xml:space="preserve">ocus on catastrophic risk with annual attritional losses managed from reserves and annual allocation of </w:t>
      </w:r>
      <w:r w:rsidR="00164F06" w:rsidRPr="00164F06">
        <w:rPr>
          <w:rFonts w:ascii="Source Sans Pro" w:eastAsiaTheme="minorHAnsi" w:hAnsi="Source Sans Pro" w:cstheme="minorBidi"/>
          <w:color w:val="000000" w:themeColor="text1"/>
          <w:sz w:val="24"/>
          <w:szCs w:val="22"/>
        </w:rPr>
        <w:t xml:space="preserve">levy </w:t>
      </w:r>
      <w:r w:rsidR="00535170" w:rsidRPr="00164F06">
        <w:rPr>
          <w:rFonts w:ascii="Source Sans Pro" w:eastAsiaTheme="minorHAnsi" w:hAnsi="Source Sans Pro" w:cstheme="minorBidi"/>
          <w:color w:val="000000" w:themeColor="text1"/>
          <w:sz w:val="24"/>
          <w:szCs w:val="22"/>
        </w:rPr>
        <w:t>income</w:t>
      </w:r>
      <w:r w:rsidRPr="00164F06">
        <w:rPr>
          <w:rFonts w:ascii="Source Sans Pro" w:eastAsiaTheme="minorHAnsi" w:hAnsi="Source Sans Pro" w:cstheme="minorBidi"/>
          <w:color w:val="000000" w:themeColor="text1"/>
          <w:sz w:val="24"/>
          <w:szCs w:val="22"/>
        </w:rPr>
        <w:t>.</w:t>
      </w:r>
    </w:p>
    <w:p w14:paraId="64A73AC1" w14:textId="4CC01E06" w:rsidR="00535170" w:rsidRPr="00164F06" w:rsidRDefault="00DC0AA0" w:rsidP="003C41FC">
      <w:pPr>
        <w:pStyle w:val="AonBodyCopy"/>
        <w:numPr>
          <w:ilvl w:val="0"/>
          <w:numId w:val="10"/>
        </w:numPr>
        <w:spacing w:after="120"/>
        <w:rPr>
          <w:rFonts w:ascii="Source Sans Pro" w:eastAsiaTheme="minorHAnsi" w:hAnsi="Source Sans Pro" w:cstheme="minorBidi"/>
          <w:color w:val="000000" w:themeColor="text1"/>
          <w:sz w:val="24"/>
          <w:szCs w:val="22"/>
        </w:rPr>
      </w:pPr>
      <w:r w:rsidRPr="00164F06">
        <w:rPr>
          <w:rFonts w:ascii="Source Sans Pro" w:eastAsiaTheme="minorHAnsi" w:hAnsi="Source Sans Pro" w:cstheme="minorBidi"/>
          <w:color w:val="000000" w:themeColor="text1"/>
          <w:sz w:val="24"/>
          <w:szCs w:val="22"/>
        </w:rPr>
        <w:t>R</w:t>
      </w:r>
      <w:r w:rsidR="00535170" w:rsidRPr="00164F06">
        <w:rPr>
          <w:rFonts w:ascii="Source Sans Pro" w:eastAsiaTheme="minorHAnsi" w:hAnsi="Source Sans Pro" w:cstheme="minorBidi"/>
          <w:color w:val="000000" w:themeColor="text1"/>
          <w:sz w:val="24"/>
          <w:szCs w:val="22"/>
        </w:rPr>
        <w:t>isk transfer products are efficient and effective financial tools when compared to a range of alternative financial arrangements</w:t>
      </w:r>
    </w:p>
    <w:p w14:paraId="7E85EB0E" w14:textId="014CAE91" w:rsidR="00535170" w:rsidRPr="00164F06" w:rsidRDefault="00DC0AA0" w:rsidP="003C41FC">
      <w:pPr>
        <w:pStyle w:val="AonBodyCopy"/>
        <w:numPr>
          <w:ilvl w:val="0"/>
          <w:numId w:val="10"/>
        </w:numPr>
        <w:spacing w:after="120"/>
        <w:rPr>
          <w:rFonts w:ascii="Source Sans Pro" w:eastAsiaTheme="minorHAnsi" w:hAnsi="Source Sans Pro" w:cstheme="minorBidi"/>
          <w:color w:val="000000" w:themeColor="text1"/>
          <w:sz w:val="24"/>
          <w:szCs w:val="22"/>
        </w:rPr>
      </w:pPr>
      <w:r w:rsidRPr="00164F06">
        <w:rPr>
          <w:rFonts w:ascii="Source Sans Pro" w:eastAsiaTheme="minorHAnsi" w:hAnsi="Source Sans Pro" w:cstheme="minorBidi"/>
          <w:color w:val="000000" w:themeColor="text1"/>
          <w:sz w:val="24"/>
          <w:szCs w:val="22"/>
        </w:rPr>
        <w:t>R</w:t>
      </w:r>
      <w:r w:rsidR="00535170" w:rsidRPr="00164F06">
        <w:rPr>
          <w:rFonts w:ascii="Source Sans Pro" w:eastAsiaTheme="minorHAnsi" w:hAnsi="Source Sans Pro" w:cstheme="minorBidi"/>
          <w:color w:val="000000" w:themeColor="text1"/>
          <w:sz w:val="24"/>
          <w:szCs w:val="22"/>
        </w:rPr>
        <w:t xml:space="preserve">einstatement of cover protects the </w:t>
      </w:r>
      <w:r w:rsidR="00494C07" w:rsidRPr="00164F06">
        <w:rPr>
          <w:rFonts w:ascii="Source Sans Pro" w:eastAsiaTheme="minorHAnsi" w:hAnsi="Source Sans Pro" w:cstheme="minorBidi"/>
          <w:color w:val="000000" w:themeColor="text1"/>
          <w:sz w:val="24"/>
          <w:szCs w:val="22"/>
        </w:rPr>
        <w:t>NHI s</w:t>
      </w:r>
      <w:r w:rsidR="00535170" w:rsidRPr="00164F06">
        <w:rPr>
          <w:rFonts w:ascii="Source Sans Pro" w:eastAsiaTheme="minorHAnsi" w:hAnsi="Source Sans Pro" w:cstheme="minorBidi"/>
          <w:color w:val="000000" w:themeColor="text1"/>
          <w:sz w:val="24"/>
          <w:szCs w:val="22"/>
        </w:rPr>
        <w:t>cheme from the risk of multiple events in a single treaty year</w:t>
      </w:r>
    </w:p>
    <w:p w14:paraId="72977C55" w14:textId="03AABF57" w:rsidR="00535170" w:rsidRDefault="00077A91" w:rsidP="003C41FC">
      <w:pPr>
        <w:pStyle w:val="AonBodyCopy"/>
        <w:numPr>
          <w:ilvl w:val="0"/>
          <w:numId w:val="10"/>
        </w:numPr>
        <w:spacing w:after="120"/>
        <w:rPr>
          <w:rFonts w:ascii="Source Sans Pro" w:eastAsiaTheme="minorHAnsi" w:hAnsi="Source Sans Pro" w:cstheme="minorBidi"/>
          <w:color w:val="000000" w:themeColor="text1"/>
          <w:sz w:val="24"/>
          <w:szCs w:val="22"/>
        </w:rPr>
      </w:pPr>
      <w:r w:rsidRPr="00164F06">
        <w:rPr>
          <w:rFonts w:ascii="Source Sans Pro" w:eastAsiaTheme="minorHAnsi" w:hAnsi="Source Sans Pro" w:cstheme="minorBidi"/>
          <w:color w:val="000000" w:themeColor="text1"/>
          <w:sz w:val="24"/>
          <w:szCs w:val="22"/>
        </w:rPr>
        <w:t xml:space="preserve">Partner </w:t>
      </w:r>
      <w:r w:rsidR="00535170" w:rsidRPr="00164F06">
        <w:rPr>
          <w:rFonts w:ascii="Source Sans Pro" w:eastAsiaTheme="minorHAnsi" w:hAnsi="Source Sans Pro" w:cstheme="minorBidi"/>
          <w:color w:val="000000" w:themeColor="text1"/>
          <w:sz w:val="24"/>
          <w:szCs w:val="22"/>
        </w:rPr>
        <w:t>with high-quality counterparts</w:t>
      </w:r>
    </w:p>
    <w:p w14:paraId="17D57D53" w14:textId="24D02515" w:rsidR="004316C9" w:rsidRPr="00260345" w:rsidRDefault="007A4CC1" w:rsidP="003C41FC">
      <w:pPr>
        <w:pStyle w:val="AonBodyCopy"/>
        <w:numPr>
          <w:ilvl w:val="0"/>
          <w:numId w:val="10"/>
        </w:numPr>
        <w:spacing w:after="120"/>
        <w:rPr>
          <w:rFonts w:ascii="Source Sans Pro" w:eastAsiaTheme="minorHAnsi" w:hAnsi="Source Sans Pro" w:cstheme="minorBidi"/>
          <w:color w:val="000000" w:themeColor="text1"/>
          <w:sz w:val="24"/>
          <w:szCs w:val="22"/>
        </w:rPr>
      </w:pPr>
      <w:r w:rsidRPr="0010240C">
        <w:rPr>
          <w:rFonts w:ascii="Source Sans Pro" w:eastAsiaTheme="minorHAnsi" w:hAnsi="Source Sans Pro" w:cstheme="minorBidi"/>
          <w:color w:val="000000" w:themeColor="text1"/>
          <w:sz w:val="24"/>
          <w:szCs w:val="22"/>
        </w:rPr>
        <w:t xml:space="preserve">Ensure that </w:t>
      </w:r>
      <w:r w:rsidR="007E47A0" w:rsidRPr="0010240C">
        <w:rPr>
          <w:rFonts w:ascii="Source Sans Pro" w:eastAsiaTheme="minorHAnsi" w:hAnsi="Source Sans Pro" w:cstheme="minorBidi"/>
          <w:color w:val="000000" w:themeColor="text1"/>
          <w:sz w:val="24"/>
          <w:szCs w:val="22"/>
        </w:rPr>
        <w:t xml:space="preserve">capacity is obtained from </w:t>
      </w:r>
      <w:r w:rsidR="007D3BE7" w:rsidRPr="0010240C">
        <w:rPr>
          <w:rFonts w:ascii="Source Sans Pro" w:eastAsiaTheme="minorHAnsi" w:hAnsi="Source Sans Pro" w:cstheme="minorBidi"/>
          <w:color w:val="000000" w:themeColor="text1"/>
          <w:sz w:val="24"/>
          <w:szCs w:val="22"/>
        </w:rPr>
        <w:t>a diverse range of sources</w:t>
      </w:r>
    </w:p>
    <w:p w14:paraId="3889B9A6" w14:textId="37314FCD" w:rsidR="00535170" w:rsidRPr="00164F06" w:rsidRDefault="00077A91" w:rsidP="003C41FC">
      <w:pPr>
        <w:pStyle w:val="AonBodyCopy"/>
        <w:numPr>
          <w:ilvl w:val="0"/>
          <w:numId w:val="10"/>
        </w:numPr>
        <w:spacing w:after="120"/>
        <w:rPr>
          <w:rFonts w:ascii="Source Sans Pro" w:eastAsiaTheme="minorHAnsi" w:hAnsi="Source Sans Pro" w:cstheme="minorBidi"/>
          <w:color w:val="000000" w:themeColor="text1"/>
          <w:sz w:val="24"/>
          <w:szCs w:val="22"/>
        </w:rPr>
      </w:pPr>
      <w:r w:rsidRPr="00164F06">
        <w:rPr>
          <w:rFonts w:ascii="Source Sans Pro" w:eastAsiaTheme="minorHAnsi" w:hAnsi="Source Sans Pro" w:cstheme="minorBidi"/>
          <w:color w:val="000000" w:themeColor="text1"/>
          <w:sz w:val="24"/>
          <w:szCs w:val="22"/>
        </w:rPr>
        <w:t>R</w:t>
      </w:r>
      <w:r w:rsidR="00535170" w:rsidRPr="00164F06">
        <w:rPr>
          <w:rFonts w:ascii="Source Sans Pro" w:eastAsiaTheme="minorHAnsi" w:hAnsi="Source Sans Pro" w:cstheme="minorBidi"/>
          <w:color w:val="000000" w:themeColor="text1"/>
          <w:sz w:val="24"/>
          <w:szCs w:val="22"/>
        </w:rPr>
        <w:t xml:space="preserve">ecognise the long-term nature of the </w:t>
      </w:r>
      <w:r w:rsidRPr="00164F06">
        <w:rPr>
          <w:rFonts w:ascii="Source Sans Pro" w:eastAsiaTheme="minorHAnsi" w:hAnsi="Source Sans Pro" w:cstheme="minorBidi"/>
          <w:color w:val="000000" w:themeColor="text1"/>
          <w:sz w:val="24"/>
          <w:szCs w:val="22"/>
        </w:rPr>
        <w:t>NHI s</w:t>
      </w:r>
      <w:r w:rsidR="00535170" w:rsidRPr="00164F06">
        <w:rPr>
          <w:rFonts w:ascii="Source Sans Pro" w:eastAsiaTheme="minorHAnsi" w:hAnsi="Source Sans Pro" w:cstheme="minorBidi"/>
          <w:color w:val="000000" w:themeColor="text1"/>
          <w:sz w:val="24"/>
          <w:szCs w:val="22"/>
        </w:rPr>
        <w:t xml:space="preserve">cheme and a desire to develop multi-year risk transfer capacity. </w:t>
      </w:r>
    </w:p>
    <w:p w14:paraId="16A3D705" w14:textId="0A32D055" w:rsidR="00535170" w:rsidRPr="00017FB5" w:rsidRDefault="00535170" w:rsidP="00535170">
      <w:pPr>
        <w:pStyle w:val="AonBodyCopy"/>
        <w:spacing w:after="120"/>
        <w:rPr>
          <w:rFonts w:ascii="Source Sans Pro" w:eastAsiaTheme="minorHAnsi" w:hAnsi="Source Sans Pro" w:cstheme="minorBidi"/>
          <w:color w:val="000000" w:themeColor="text1"/>
          <w:sz w:val="24"/>
          <w:szCs w:val="22"/>
        </w:rPr>
      </w:pPr>
      <w:r w:rsidRPr="00164F06">
        <w:rPr>
          <w:rFonts w:ascii="Source Sans Pro" w:eastAsiaTheme="minorHAnsi" w:hAnsi="Source Sans Pro" w:cstheme="minorBidi"/>
          <w:color w:val="000000" w:themeColor="text1"/>
          <w:sz w:val="24"/>
          <w:szCs w:val="22"/>
        </w:rPr>
        <w:t xml:space="preserve">Given the dynamic nature of global </w:t>
      </w:r>
      <w:r w:rsidR="004D38F4">
        <w:rPr>
          <w:rFonts w:ascii="Source Sans Pro" w:eastAsiaTheme="minorHAnsi" w:hAnsi="Source Sans Pro" w:cstheme="minorBidi"/>
          <w:color w:val="000000" w:themeColor="text1"/>
          <w:sz w:val="24"/>
          <w:szCs w:val="22"/>
        </w:rPr>
        <w:t>risk transfer</w:t>
      </w:r>
      <w:r w:rsidR="004D38F4" w:rsidRPr="00164F06">
        <w:rPr>
          <w:rFonts w:ascii="Source Sans Pro" w:eastAsiaTheme="minorHAnsi" w:hAnsi="Source Sans Pro" w:cstheme="minorBidi"/>
          <w:color w:val="000000" w:themeColor="text1"/>
          <w:sz w:val="24"/>
          <w:szCs w:val="22"/>
        </w:rPr>
        <w:t xml:space="preserve"> </w:t>
      </w:r>
      <w:r w:rsidRPr="00164F06">
        <w:rPr>
          <w:rFonts w:ascii="Source Sans Pro" w:eastAsiaTheme="minorHAnsi" w:hAnsi="Source Sans Pro" w:cstheme="minorBidi"/>
          <w:color w:val="000000" w:themeColor="text1"/>
          <w:sz w:val="24"/>
          <w:szCs w:val="22"/>
        </w:rPr>
        <w:t xml:space="preserve">markets, the Board will set specific annual objectives for the placement of </w:t>
      </w:r>
      <w:r w:rsidR="00494C07" w:rsidRPr="00164F06">
        <w:rPr>
          <w:rFonts w:ascii="Source Sans Pro" w:eastAsiaTheme="minorHAnsi" w:hAnsi="Source Sans Pro" w:cstheme="minorBidi"/>
          <w:color w:val="000000" w:themeColor="text1"/>
          <w:sz w:val="24"/>
          <w:szCs w:val="22"/>
        </w:rPr>
        <w:t>our</w:t>
      </w:r>
      <w:r w:rsidRPr="00164F06">
        <w:rPr>
          <w:rFonts w:ascii="Source Sans Pro" w:eastAsiaTheme="minorHAnsi" w:hAnsi="Source Sans Pro" w:cstheme="minorBidi"/>
          <w:color w:val="000000" w:themeColor="text1"/>
          <w:sz w:val="24"/>
          <w:szCs w:val="22"/>
        </w:rPr>
        <w:t xml:space="preserve"> traditional reinsurance programme. These will be based on the overall long-term principles but will be tailored to specific market conditions.</w:t>
      </w:r>
      <w:r w:rsidRPr="00017FB5">
        <w:rPr>
          <w:rFonts w:ascii="Source Sans Pro" w:eastAsiaTheme="minorHAnsi" w:hAnsi="Source Sans Pro" w:cstheme="minorBidi"/>
          <w:color w:val="000000" w:themeColor="text1"/>
          <w:sz w:val="24"/>
          <w:szCs w:val="22"/>
        </w:rPr>
        <w:t xml:space="preserve">  </w:t>
      </w:r>
    </w:p>
    <w:p w14:paraId="7EC2BCA0" w14:textId="66B6D9FF" w:rsidR="00AF6CA0" w:rsidRDefault="00295717" w:rsidP="00166A61">
      <w:pPr>
        <w:spacing w:after="120"/>
      </w:pPr>
      <w:r w:rsidRPr="00FB4526">
        <w:lastRenderedPageBreak/>
        <w:t xml:space="preserve">Our Risk Transfer Programme is </w:t>
      </w:r>
      <w:r w:rsidR="00BC4D64">
        <w:t>cost</w:t>
      </w:r>
      <w:r w:rsidR="00B446C8">
        <w:t>-</w:t>
      </w:r>
      <w:r w:rsidRPr="00FB4526">
        <w:t xml:space="preserve">effective and well supported by </w:t>
      </w:r>
      <w:r w:rsidR="00A23EA5">
        <w:t>M</w:t>
      </w:r>
      <w:r w:rsidR="000B6FED" w:rsidRPr="00FB4526">
        <w:t>inisters</w:t>
      </w:r>
      <w:r w:rsidRPr="00FB4526">
        <w:t xml:space="preserve">. </w:t>
      </w:r>
      <w:r w:rsidR="009F787F">
        <w:t>A</w:t>
      </w:r>
      <w:r w:rsidR="00517671">
        <w:t>nalysis shows i</w:t>
      </w:r>
      <w:r w:rsidRPr="00FB4526">
        <w:t xml:space="preserve">t is well below the Crown’s cost of capital, so it supports an effective transfer of risk. </w:t>
      </w:r>
    </w:p>
    <w:p w14:paraId="238074F5" w14:textId="0B002567" w:rsidR="00220C67" w:rsidRPr="00572507" w:rsidRDefault="00220C67" w:rsidP="009A36AE">
      <w:pPr>
        <w:pStyle w:val="Heading3"/>
      </w:pPr>
      <w:bookmarkStart w:id="32" w:name="_Toc198060255"/>
      <w:bookmarkStart w:id="33" w:name="_Toc198060309"/>
      <w:bookmarkStart w:id="34" w:name="_Toc198065070"/>
      <w:bookmarkStart w:id="35" w:name="_Toc198615226"/>
      <w:bookmarkStart w:id="36" w:name="_Toc199337446"/>
      <w:bookmarkStart w:id="37" w:name="_Toc199338279"/>
      <w:bookmarkStart w:id="38" w:name="_Toc199422600"/>
      <w:bookmarkStart w:id="39" w:name="_Toc199876527"/>
      <w:bookmarkStart w:id="40" w:name="_Toc199919225"/>
      <w:bookmarkStart w:id="41" w:name="_Toc199941813"/>
      <w:bookmarkStart w:id="42" w:name="_Toc231890648"/>
      <w:r>
        <w:t>Strong s</w:t>
      </w:r>
      <w:r w:rsidRPr="00572507">
        <w:t>takeholder relationships</w:t>
      </w:r>
      <w:bookmarkEnd w:id="32"/>
      <w:bookmarkEnd w:id="33"/>
      <w:bookmarkEnd w:id="34"/>
      <w:bookmarkEnd w:id="35"/>
      <w:bookmarkEnd w:id="36"/>
      <w:bookmarkEnd w:id="37"/>
      <w:bookmarkEnd w:id="38"/>
      <w:bookmarkEnd w:id="39"/>
      <w:bookmarkEnd w:id="40"/>
      <w:bookmarkEnd w:id="41"/>
      <w:bookmarkEnd w:id="42"/>
    </w:p>
    <w:p w14:paraId="334F194D" w14:textId="6DDD3A73" w:rsidR="00B102F4" w:rsidRPr="00E05EAB" w:rsidRDefault="00053333" w:rsidP="00166A61">
      <w:pPr>
        <w:spacing w:after="120"/>
      </w:pPr>
      <w:r w:rsidRPr="00E05EAB">
        <w:t>Over time</w:t>
      </w:r>
      <w:r w:rsidR="009E4ADE">
        <w:t>,</w:t>
      </w:r>
      <w:r w:rsidRPr="00E05EAB">
        <w:t xml:space="preserve"> w</w:t>
      </w:r>
      <w:r w:rsidR="00220C67" w:rsidRPr="00E05EAB">
        <w:t xml:space="preserve">e have </w:t>
      </w:r>
      <w:r w:rsidR="005B5091" w:rsidRPr="00E05EAB">
        <w:t xml:space="preserve">developed </w:t>
      </w:r>
      <w:r w:rsidR="00220C67" w:rsidRPr="00E05EAB">
        <w:t>strong relationship</w:t>
      </w:r>
      <w:r w:rsidRPr="00E05EAB">
        <w:t>s</w:t>
      </w:r>
      <w:r w:rsidR="00220C67" w:rsidRPr="00E05EAB">
        <w:t xml:space="preserve"> with </w:t>
      </w:r>
      <w:r w:rsidR="00B102F4" w:rsidRPr="00E05EAB">
        <w:t>a wide array of</w:t>
      </w:r>
      <w:r w:rsidR="004D38F4">
        <w:t xml:space="preserve"> traditional</w:t>
      </w:r>
      <w:r w:rsidR="00B102F4" w:rsidRPr="00E05EAB">
        <w:t xml:space="preserve"> reinsurance market participants. This includes reinsur</w:t>
      </w:r>
      <w:r w:rsidR="00BE5678" w:rsidRPr="00E05EAB">
        <w:t>ance companies and, more recently</w:t>
      </w:r>
      <w:r w:rsidR="00BC4D64">
        <w:t>,</w:t>
      </w:r>
      <w:r w:rsidR="00BE5678" w:rsidRPr="00E05EAB">
        <w:t xml:space="preserve"> investors that participate in the</w:t>
      </w:r>
      <w:r w:rsidR="00946BD8">
        <w:t xml:space="preserve"> </w:t>
      </w:r>
      <w:r w:rsidR="00946BD8" w:rsidRPr="00946BD8">
        <w:t>alternative risk transfer product</w:t>
      </w:r>
      <w:r w:rsidR="00BE5678" w:rsidRPr="00E05EAB">
        <w:t xml:space="preserve"> market.  </w:t>
      </w:r>
    </w:p>
    <w:p w14:paraId="5A450B7B" w14:textId="4F532728" w:rsidR="005B5091" w:rsidRPr="00E05EAB" w:rsidRDefault="005B5091" w:rsidP="00166A61">
      <w:pPr>
        <w:spacing w:after="120"/>
      </w:pPr>
      <w:r w:rsidRPr="00E05EAB">
        <w:t xml:space="preserve">We </w:t>
      </w:r>
      <w:r w:rsidR="00BE1698" w:rsidRPr="00E05EAB">
        <w:t xml:space="preserve">also continue to invest in relationships with other insurance entities, including </w:t>
      </w:r>
      <w:r w:rsidR="000C2393" w:rsidRPr="00E05EAB">
        <w:t>other government schemes. For example, through the World Forum of Catastrophe Programmes</w:t>
      </w:r>
      <w:r w:rsidR="00A72EE3">
        <w:t>,</w:t>
      </w:r>
      <w:r w:rsidR="000C2393" w:rsidRPr="00E05EAB">
        <w:t xml:space="preserve"> we </w:t>
      </w:r>
      <w:r w:rsidR="004C609F" w:rsidRPr="00E05EAB">
        <w:t xml:space="preserve">have been able to share experiences and advice with other natural hazard insurers </w:t>
      </w:r>
      <w:r w:rsidR="00BF7F89" w:rsidRPr="00E05EAB">
        <w:t>as we look to learn from others</w:t>
      </w:r>
      <w:r w:rsidR="008832C8">
        <w:t>’</w:t>
      </w:r>
      <w:r w:rsidR="00BF7F89" w:rsidRPr="00E05EAB">
        <w:t xml:space="preserve"> experiences. </w:t>
      </w:r>
    </w:p>
    <w:p w14:paraId="3C78EB66" w14:textId="49A17A25" w:rsidR="00BE5678" w:rsidRPr="00E05EAB" w:rsidRDefault="00556D39" w:rsidP="00166A61">
      <w:pPr>
        <w:spacing w:after="120"/>
      </w:pPr>
      <w:r>
        <w:t>W</w:t>
      </w:r>
      <w:r w:rsidR="00BE5678" w:rsidRPr="00E05EAB">
        <w:t xml:space="preserve">e </w:t>
      </w:r>
      <w:r>
        <w:t xml:space="preserve">also </w:t>
      </w:r>
      <w:r w:rsidR="00F77DC1" w:rsidRPr="00E05EAB">
        <w:t>continue to invest in relationships with a number of market intermediaries</w:t>
      </w:r>
      <w:r w:rsidR="00C5601A">
        <w:t>.</w:t>
      </w:r>
      <w:r w:rsidR="00F77DC1" w:rsidRPr="00E05EAB">
        <w:t xml:space="preserve"> </w:t>
      </w:r>
      <w:r w:rsidR="00C5601A">
        <w:t xml:space="preserve">These </w:t>
      </w:r>
      <w:r w:rsidR="00C5601A" w:rsidRPr="00E05EAB">
        <w:t>includ</w:t>
      </w:r>
      <w:r w:rsidR="00C5601A">
        <w:t>e</w:t>
      </w:r>
      <w:r w:rsidR="00C5601A" w:rsidRPr="00E05EAB">
        <w:t xml:space="preserve"> </w:t>
      </w:r>
      <w:r w:rsidR="00C54744" w:rsidRPr="00E05EAB">
        <w:t xml:space="preserve">reinsurance </w:t>
      </w:r>
      <w:r w:rsidR="00F77DC1" w:rsidRPr="00E05EAB">
        <w:t>brokers and advisors</w:t>
      </w:r>
      <w:r w:rsidR="00241553">
        <w:t>,</w:t>
      </w:r>
      <w:r w:rsidR="00C54744" w:rsidRPr="00E05EAB">
        <w:t xml:space="preserve"> as well as </w:t>
      </w:r>
      <w:r w:rsidR="00F77DC1" w:rsidRPr="00E05EAB">
        <w:t xml:space="preserve">modelling </w:t>
      </w:r>
      <w:r w:rsidR="008B5526" w:rsidRPr="00E05EAB">
        <w:t xml:space="preserve">and research institutions </w:t>
      </w:r>
      <w:r w:rsidR="00AE700D" w:rsidRPr="00E05EAB">
        <w:t>whose outputs are used to price New Zealand risk</w:t>
      </w:r>
      <w:r w:rsidR="00C54744" w:rsidRPr="00E05EAB">
        <w:t>.</w:t>
      </w:r>
    </w:p>
    <w:p w14:paraId="4A2643A8" w14:textId="7237998C" w:rsidR="00C325AF" w:rsidRPr="005E7920" w:rsidRDefault="00C325AF" w:rsidP="007E07C2">
      <w:pPr>
        <w:pStyle w:val="Heading2"/>
      </w:pPr>
      <w:bookmarkStart w:id="43" w:name="_Toc199337447"/>
      <w:bookmarkStart w:id="44" w:name="_Toc231890649"/>
      <w:r>
        <w:t xml:space="preserve">Opportunities </w:t>
      </w:r>
      <w:r w:rsidR="005C7A21">
        <w:t xml:space="preserve">we can </w:t>
      </w:r>
      <w:r w:rsidR="006C637A">
        <w:t>benefit from</w:t>
      </w:r>
      <w:bookmarkEnd w:id="43"/>
      <w:bookmarkEnd w:id="44"/>
    </w:p>
    <w:p w14:paraId="08BBAA37" w14:textId="0CA6AE02" w:rsidR="00B447DB" w:rsidRPr="00B447DB" w:rsidRDefault="00B447DB" w:rsidP="009A36AE">
      <w:pPr>
        <w:pStyle w:val="Heading3"/>
        <w:rPr>
          <w:b w:val="0"/>
        </w:rPr>
      </w:pPr>
      <w:bookmarkStart w:id="45" w:name="_Toc199337448"/>
      <w:bookmarkStart w:id="46" w:name="_Toc199338281"/>
      <w:bookmarkStart w:id="47" w:name="_Toc199422602"/>
      <w:bookmarkStart w:id="48" w:name="_Toc199876529"/>
      <w:bookmarkStart w:id="49" w:name="_Toc199919227"/>
      <w:bookmarkStart w:id="50" w:name="_Toc199941815"/>
      <w:bookmarkStart w:id="51" w:name="_Toc231890650"/>
      <w:r w:rsidRPr="00326291">
        <w:t>Investment</w:t>
      </w:r>
      <w:r w:rsidR="00D91665">
        <w:t xml:space="preserve"> of the Natural Hazard Fund</w:t>
      </w:r>
      <w:bookmarkEnd w:id="45"/>
      <w:bookmarkEnd w:id="46"/>
      <w:bookmarkEnd w:id="47"/>
      <w:bookmarkEnd w:id="48"/>
      <w:bookmarkEnd w:id="49"/>
      <w:bookmarkEnd w:id="50"/>
      <w:bookmarkEnd w:id="51"/>
      <w:r w:rsidR="009F5A90">
        <w:rPr>
          <w:b w:val="0"/>
        </w:rPr>
        <w:t xml:space="preserve"> </w:t>
      </w:r>
    </w:p>
    <w:p w14:paraId="52EFFB08" w14:textId="7D707B63" w:rsidR="00C40AE7" w:rsidRPr="00A365C9" w:rsidRDefault="000F0219" w:rsidP="00166A61">
      <w:pPr>
        <w:spacing w:after="120"/>
      </w:pPr>
      <w:r>
        <w:t>Before</w:t>
      </w:r>
      <w:r w:rsidR="002E2B2D" w:rsidRPr="00A365C9">
        <w:t xml:space="preserve"> the first of the Canterbury earthquakes</w:t>
      </w:r>
      <w:r w:rsidR="00C40AE7" w:rsidRPr="00A365C9">
        <w:t xml:space="preserve"> in September 2010</w:t>
      </w:r>
      <w:r w:rsidR="002E2B2D" w:rsidRPr="00A365C9">
        <w:t xml:space="preserve">, </w:t>
      </w:r>
      <w:r w:rsidR="003D675B" w:rsidRPr="00A365C9">
        <w:t xml:space="preserve">the </w:t>
      </w:r>
      <w:r w:rsidR="00A365C9">
        <w:t>NHF</w:t>
      </w:r>
      <w:r w:rsidR="002C5170">
        <w:t xml:space="preserve"> had</w:t>
      </w:r>
      <w:r w:rsidR="003D675B" w:rsidRPr="00A365C9">
        <w:t xml:space="preserve"> </w:t>
      </w:r>
      <w:r w:rsidR="002E2B2D" w:rsidRPr="00A365C9">
        <w:t xml:space="preserve">accumulated nearly $6.1 billion </w:t>
      </w:r>
      <w:r w:rsidR="003D675B" w:rsidRPr="00A365C9">
        <w:t>in investable assets. This reflected</w:t>
      </w:r>
      <w:r w:rsidR="00363042" w:rsidRPr="00A365C9">
        <w:t xml:space="preserve">, in large part, a very benign geological period </w:t>
      </w:r>
      <w:r w:rsidR="002C5170">
        <w:t>that</w:t>
      </w:r>
      <w:r w:rsidR="002C5170" w:rsidRPr="00A365C9">
        <w:t xml:space="preserve"> </w:t>
      </w:r>
      <w:r w:rsidR="00363042" w:rsidRPr="00A365C9">
        <w:t xml:space="preserve">had allowed annual surpluses to </w:t>
      </w:r>
      <w:r w:rsidR="009606D5">
        <w:t xml:space="preserve">accumulate </w:t>
      </w:r>
      <w:r w:rsidR="00363042" w:rsidRPr="00A365C9">
        <w:t xml:space="preserve">a significant fiscal buffer for future claims events. </w:t>
      </w:r>
      <w:r w:rsidR="00C40AE7" w:rsidRPr="00A365C9">
        <w:t xml:space="preserve">Within six years from </w:t>
      </w:r>
      <w:r w:rsidR="009834B3" w:rsidRPr="00A365C9">
        <w:t>September 2010</w:t>
      </w:r>
      <w:r w:rsidR="00C40AE7" w:rsidRPr="00A365C9">
        <w:t xml:space="preserve">, the </w:t>
      </w:r>
      <w:r w:rsidR="00BA5630">
        <w:t>NHF</w:t>
      </w:r>
      <w:r w:rsidR="009834B3" w:rsidRPr="00A365C9">
        <w:t xml:space="preserve"> was effectively exhausted</w:t>
      </w:r>
      <w:r w:rsidR="00B34E79" w:rsidRPr="00A365C9">
        <w:t xml:space="preserve"> by a combination of earthquake</w:t>
      </w:r>
      <w:r w:rsidR="00C9023C">
        <w:t>s</w:t>
      </w:r>
      <w:r w:rsidR="00B34E79" w:rsidRPr="00A365C9">
        <w:t xml:space="preserve"> in Canterbury and Kaik</w:t>
      </w:r>
      <w:r w:rsidR="00BA5630">
        <w:t>ō</w:t>
      </w:r>
      <w:r w:rsidR="00B34E79" w:rsidRPr="00A365C9">
        <w:t xml:space="preserve">ura.  </w:t>
      </w:r>
    </w:p>
    <w:p w14:paraId="4A1B9B09" w14:textId="61AA50BD" w:rsidR="005E0CE6" w:rsidRPr="00A365C9" w:rsidRDefault="00B34E79" w:rsidP="00166A61">
      <w:pPr>
        <w:spacing w:after="120"/>
      </w:pPr>
      <w:r w:rsidRPr="00A365C9">
        <w:t xml:space="preserve">Effective stewardship and management of the </w:t>
      </w:r>
      <w:r w:rsidR="00C93BE5" w:rsidRPr="00A365C9">
        <w:t xml:space="preserve">NHF is a critical </w:t>
      </w:r>
      <w:r w:rsidR="001950C8" w:rsidRPr="00A365C9">
        <w:t xml:space="preserve">function of the Board. </w:t>
      </w:r>
      <w:r w:rsidR="001A549A" w:rsidRPr="00A365C9">
        <w:t xml:space="preserve">The 2024 FRMS </w:t>
      </w:r>
      <w:r w:rsidR="007D3D43" w:rsidRPr="00A365C9">
        <w:t xml:space="preserve">reaffirmed this, providing a clear </w:t>
      </w:r>
      <w:r w:rsidR="005E0CE6" w:rsidRPr="00A365C9">
        <w:t xml:space="preserve">mandate to </w:t>
      </w:r>
      <w:r w:rsidR="007D3D43" w:rsidRPr="00A365C9">
        <w:t xml:space="preserve">the Board </w:t>
      </w:r>
      <w:r w:rsidR="006448D4" w:rsidRPr="00A365C9">
        <w:t xml:space="preserve">to manage the NHF in line with </w:t>
      </w:r>
      <w:r w:rsidR="00196455" w:rsidRPr="00A365C9">
        <w:t xml:space="preserve">industry </w:t>
      </w:r>
      <w:r w:rsidR="006448D4" w:rsidRPr="00A365C9">
        <w:t>best practice</w:t>
      </w:r>
      <w:r w:rsidR="003C31FB">
        <w:t>,</w:t>
      </w:r>
      <w:r w:rsidR="003B1B6B" w:rsidRPr="00A365C9">
        <w:t xml:space="preserve"> </w:t>
      </w:r>
      <w:r w:rsidR="00196455" w:rsidRPr="00A365C9">
        <w:t xml:space="preserve">and </w:t>
      </w:r>
      <w:r w:rsidR="005E0CE6" w:rsidRPr="00A365C9">
        <w:t xml:space="preserve">to broaden investment products and earn greater returns to support </w:t>
      </w:r>
      <w:r w:rsidR="00F96DB8">
        <w:t>rebuilding</w:t>
      </w:r>
      <w:r w:rsidR="005E0CE6" w:rsidRPr="00A365C9">
        <w:t xml:space="preserve"> the </w:t>
      </w:r>
      <w:r w:rsidR="00705D6B">
        <w:t>NHF</w:t>
      </w:r>
      <w:r w:rsidR="00B00AFA" w:rsidRPr="00A365C9">
        <w:t>.</w:t>
      </w:r>
    </w:p>
    <w:p w14:paraId="1E1DA54A" w14:textId="292B00E3" w:rsidR="00BE78C4" w:rsidRPr="00A365C9" w:rsidRDefault="00BE78C4" w:rsidP="00166A61">
      <w:pPr>
        <w:spacing w:after="120"/>
      </w:pPr>
      <w:r w:rsidRPr="00A365C9">
        <w:t xml:space="preserve">Over time, the </w:t>
      </w:r>
      <w:r w:rsidR="008774F1" w:rsidRPr="00A365C9">
        <w:t xml:space="preserve">growth </w:t>
      </w:r>
      <w:r w:rsidR="007925FE" w:rsidRPr="00A365C9">
        <w:t xml:space="preserve">of </w:t>
      </w:r>
      <w:r w:rsidR="00D2094D" w:rsidRPr="00A365C9">
        <w:t xml:space="preserve">the NHF </w:t>
      </w:r>
      <w:r w:rsidR="000F64C3" w:rsidRPr="00A365C9">
        <w:t xml:space="preserve">from accumulated surpluses and investment returns </w:t>
      </w:r>
      <w:r w:rsidR="00D2094D" w:rsidRPr="00A365C9">
        <w:t xml:space="preserve">will </w:t>
      </w:r>
      <w:r w:rsidR="002E4EA4">
        <w:t>allow</w:t>
      </w:r>
      <w:r w:rsidR="002E4EA4" w:rsidRPr="00A365C9">
        <w:t xml:space="preserve"> </w:t>
      </w:r>
      <w:r w:rsidR="00D2094D" w:rsidRPr="00A365C9">
        <w:t xml:space="preserve">the Board to </w:t>
      </w:r>
      <w:r w:rsidR="00F43468" w:rsidRPr="00A365C9">
        <w:t xml:space="preserve">consider </w:t>
      </w:r>
      <w:r w:rsidR="00E03EDC" w:rsidRPr="00A365C9">
        <w:t>the overall Risk Financ</w:t>
      </w:r>
      <w:r w:rsidR="00F96DB8">
        <w:t>ing</w:t>
      </w:r>
      <w:r w:rsidR="00E03EDC" w:rsidRPr="00A365C9">
        <w:t xml:space="preserve"> Strategy on </w:t>
      </w:r>
      <w:r w:rsidR="00815586" w:rsidRPr="00A365C9">
        <w:t>a more holistic basis</w:t>
      </w:r>
      <w:r w:rsidR="0053700C">
        <w:t xml:space="preserve">. </w:t>
      </w:r>
      <w:r w:rsidR="000D36E4">
        <w:t>This will involve</w:t>
      </w:r>
      <w:r w:rsidR="0023590E" w:rsidRPr="00A365C9">
        <w:t xml:space="preserve"> </w:t>
      </w:r>
      <w:r w:rsidR="008D40E3">
        <w:t>considering</w:t>
      </w:r>
      <w:r w:rsidR="0023590E" w:rsidRPr="00A365C9">
        <w:t xml:space="preserve"> trade-offs between </w:t>
      </w:r>
      <w:r w:rsidR="00F21543" w:rsidRPr="00A365C9">
        <w:t xml:space="preserve">investment in the NHF and </w:t>
      </w:r>
      <w:r w:rsidR="00744CB8" w:rsidRPr="00A365C9">
        <w:t xml:space="preserve">the </w:t>
      </w:r>
      <w:r w:rsidR="00B31C02" w:rsidRPr="00A365C9">
        <w:t xml:space="preserve">efficiency and effectiveness of </w:t>
      </w:r>
      <w:r w:rsidR="00B01EC4">
        <w:t xml:space="preserve">our </w:t>
      </w:r>
      <w:r w:rsidR="00B31C02" w:rsidRPr="00A365C9">
        <w:t>risk transfer programme.</w:t>
      </w:r>
    </w:p>
    <w:p w14:paraId="4D3BAF22" w14:textId="2012EC7E" w:rsidR="00F94152" w:rsidRDefault="000A1BC5" w:rsidP="00592C19">
      <w:pPr>
        <w:pStyle w:val="Heading2"/>
      </w:pPr>
      <w:bookmarkStart w:id="52" w:name="_Toc199337450"/>
      <w:bookmarkStart w:id="53" w:name="_Toc231890651"/>
      <w:bookmarkStart w:id="54" w:name="_Toc198060260"/>
      <w:bookmarkStart w:id="55" w:name="_Toc198060314"/>
      <w:bookmarkStart w:id="56" w:name="_Toc198065075"/>
      <w:r>
        <w:t>The c</w:t>
      </w:r>
      <w:r w:rsidR="00F94152">
        <w:t xml:space="preserve">hallenges that </w:t>
      </w:r>
      <w:r w:rsidR="000E0845">
        <w:t xml:space="preserve">we </w:t>
      </w:r>
      <w:r w:rsidR="00F94152">
        <w:t>face</w:t>
      </w:r>
      <w:bookmarkEnd w:id="52"/>
      <w:bookmarkEnd w:id="53"/>
    </w:p>
    <w:p w14:paraId="56716C17" w14:textId="786EDC5D" w:rsidR="001B354B" w:rsidRPr="00B07399" w:rsidRDefault="00275B00" w:rsidP="00275B00">
      <w:pPr>
        <w:pStyle w:val="Heading3"/>
      </w:pPr>
      <w:bookmarkStart w:id="57" w:name="_Toc198615231"/>
      <w:bookmarkStart w:id="58" w:name="_Toc199337451"/>
      <w:bookmarkStart w:id="59" w:name="_Toc199338284"/>
      <w:bookmarkStart w:id="60" w:name="_Toc199422605"/>
      <w:bookmarkStart w:id="61" w:name="_Toc199876531"/>
      <w:bookmarkStart w:id="62" w:name="_Toc199919229"/>
      <w:bookmarkStart w:id="63" w:name="_Toc199941817"/>
      <w:bookmarkStart w:id="64" w:name="_Toc231890652"/>
      <w:r>
        <w:t xml:space="preserve">Uncertainties </w:t>
      </w:r>
      <w:r w:rsidR="0075530F">
        <w:t xml:space="preserve">about </w:t>
      </w:r>
      <w:r>
        <w:t>natural hazards</w:t>
      </w:r>
      <w:bookmarkEnd w:id="54"/>
      <w:bookmarkEnd w:id="55"/>
      <w:bookmarkEnd w:id="56"/>
      <w:bookmarkEnd w:id="57"/>
      <w:bookmarkEnd w:id="58"/>
      <w:bookmarkEnd w:id="59"/>
      <w:bookmarkEnd w:id="60"/>
      <w:bookmarkEnd w:id="61"/>
      <w:bookmarkEnd w:id="62"/>
      <w:bookmarkEnd w:id="63"/>
      <w:bookmarkEnd w:id="64"/>
      <w:r w:rsidR="00ED7C4C">
        <w:t xml:space="preserve"> </w:t>
      </w:r>
    </w:p>
    <w:p w14:paraId="6A3F2AAF" w14:textId="46D92D34" w:rsidR="001D0CB5" w:rsidRDefault="000F2ED2" w:rsidP="00166A61">
      <w:pPr>
        <w:spacing w:after="120"/>
      </w:pPr>
      <w:r w:rsidRPr="00326291">
        <w:t xml:space="preserve">The main challenge is </w:t>
      </w:r>
      <w:r w:rsidR="00BA2B91">
        <w:t xml:space="preserve">the uncertainties </w:t>
      </w:r>
      <w:r w:rsidR="00727FE8">
        <w:t xml:space="preserve">about </w:t>
      </w:r>
      <w:r w:rsidR="0075530F">
        <w:t xml:space="preserve">the </w:t>
      </w:r>
      <w:r w:rsidR="00BA2B91">
        <w:t xml:space="preserve">natural hazards that the </w:t>
      </w:r>
      <w:r w:rsidR="00BC0F3E">
        <w:t xml:space="preserve">NHI </w:t>
      </w:r>
      <w:r w:rsidR="0075530F">
        <w:t>s</w:t>
      </w:r>
      <w:r w:rsidRPr="00326291">
        <w:t xml:space="preserve">cheme </w:t>
      </w:r>
      <w:r w:rsidR="00BA2B91">
        <w:t>cover</w:t>
      </w:r>
      <w:r w:rsidR="00C313E3">
        <w:t>s</w:t>
      </w:r>
      <w:r w:rsidR="00BA2B91">
        <w:t xml:space="preserve">. </w:t>
      </w:r>
      <w:r w:rsidR="00756680" w:rsidRPr="00326291">
        <w:t>We need to understand the</w:t>
      </w:r>
      <w:r w:rsidR="00911C38">
        <w:t>ir</w:t>
      </w:r>
      <w:r w:rsidR="00756680" w:rsidRPr="00326291">
        <w:t xml:space="preserve"> impacts on the </w:t>
      </w:r>
      <w:r w:rsidR="00756680">
        <w:t xml:space="preserve">NHF </w:t>
      </w:r>
      <w:r w:rsidR="00756680" w:rsidRPr="00326291">
        <w:t xml:space="preserve">and </w:t>
      </w:r>
      <w:r w:rsidR="00756680">
        <w:t>develop</w:t>
      </w:r>
      <w:r w:rsidR="00756680" w:rsidRPr="00326291">
        <w:t xml:space="preserve"> the</w:t>
      </w:r>
      <w:r w:rsidR="00756680">
        <w:t xml:space="preserve"> resources and</w:t>
      </w:r>
      <w:r w:rsidR="00756680" w:rsidRPr="00326291">
        <w:t xml:space="preserve"> </w:t>
      </w:r>
      <w:r w:rsidR="00756680" w:rsidRPr="00326291">
        <w:lastRenderedPageBreak/>
        <w:t xml:space="preserve">ability to </w:t>
      </w:r>
      <w:r w:rsidR="00756680">
        <w:t xml:space="preserve">respond. </w:t>
      </w:r>
      <w:r w:rsidR="00727FE8">
        <w:t>To do this</w:t>
      </w:r>
      <w:r w:rsidR="001D0CB5" w:rsidRPr="00326291">
        <w:t>, we seek to better understand the risk the</w:t>
      </w:r>
      <w:r w:rsidR="00BC0F3E">
        <w:t xml:space="preserve"> NHI</w:t>
      </w:r>
      <w:r w:rsidR="001D0CB5" w:rsidRPr="00326291">
        <w:t xml:space="preserve"> </w:t>
      </w:r>
      <w:r w:rsidR="00380D1A">
        <w:t>s</w:t>
      </w:r>
      <w:r w:rsidR="001D0CB5" w:rsidRPr="00326291">
        <w:t>cheme faces (</w:t>
      </w:r>
      <w:r w:rsidR="001D0CB5">
        <w:t xml:space="preserve">this is a </w:t>
      </w:r>
      <w:r w:rsidR="001D0CB5" w:rsidRPr="00326291">
        <w:t xml:space="preserve">shared objective with </w:t>
      </w:r>
      <w:r w:rsidR="001D0CB5">
        <w:t>our</w:t>
      </w:r>
      <w:r w:rsidR="001D0CB5" w:rsidRPr="00326291">
        <w:t xml:space="preserve"> Loss Modelling Strategy). </w:t>
      </w:r>
      <w:r w:rsidR="004D6C3B">
        <w:t xml:space="preserve">We do this through our ongoing investment in science and </w:t>
      </w:r>
      <w:r w:rsidR="00B10B92">
        <w:t>applying it</w:t>
      </w:r>
      <w:r w:rsidR="004D6C3B">
        <w:t xml:space="preserve"> in loss modelling.</w:t>
      </w:r>
    </w:p>
    <w:p w14:paraId="33E2AD40" w14:textId="3B492BD4" w:rsidR="00D1361A" w:rsidRPr="00572507" w:rsidRDefault="00D1361A" w:rsidP="00D1361A">
      <w:pPr>
        <w:pStyle w:val="Heading3"/>
        <w:rPr>
          <w:b w:val="0"/>
        </w:rPr>
      </w:pPr>
      <w:bookmarkStart w:id="65" w:name="_Toc199919230"/>
      <w:bookmarkStart w:id="66" w:name="_Toc199941818"/>
      <w:bookmarkStart w:id="67" w:name="_Toc231890653"/>
      <w:r w:rsidRPr="00326291">
        <w:t>Capability</w:t>
      </w:r>
      <w:r w:rsidRPr="004C5D8B">
        <w:t>, maturity</w:t>
      </w:r>
      <w:r w:rsidR="00F168C0">
        <w:t xml:space="preserve"> and</w:t>
      </w:r>
      <w:r w:rsidRPr="004C5D8B">
        <w:t xml:space="preserve"> resourcing</w:t>
      </w:r>
      <w:bookmarkEnd w:id="65"/>
      <w:bookmarkEnd w:id="66"/>
      <w:bookmarkEnd w:id="67"/>
    </w:p>
    <w:p w14:paraId="1A1D3EDA" w14:textId="1804A197" w:rsidR="00D1361A" w:rsidRDefault="00D1361A" w:rsidP="00166A61">
      <w:pPr>
        <w:spacing w:after="120"/>
      </w:pPr>
      <w:r w:rsidRPr="00DF6361">
        <w:t xml:space="preserve">We have skilled staff with maturing skillsets, such as actuarial expertise. However, our capability is </w:t>
      </w:r>
      <w:r>
        <w:t xml:space="preserve">currently </w:t>
      </w:r>
      <w:r w:rsidRPr="00DF6361">
        <w:t xml:space="preserve">limited to a few individuals, creating </w:t>
      </w:r>
      <w:r>
        <w:t>a risk of a ‘single point of failure’.</w:t>
      </w:r>
      <w:r w:rsidRPr="00DF6361">
        <w:t xml:space="preserve"> </w:t>
      </w:r>
      <w:r w:rsidR="008C5909">
        <w:t>We need to develop new capabilities, for example investment</w:t>
      </w:r>
      <w:r w:rsidR="00430382">
        <w:t xml:space="preserve"> knowledge</w:t>
      </w:r>
      <w:r w:rsidR="00A35A43">
        <w:t>,</w:t>
      </w:r>
      <w:r w:rsidR="003F3396">
        <w:t xml:space="preserve"> as we </w:t>
      </w:r>
      <w:r w:rsidR="00C900D9">
        <w:t xml:space="preserve">begin to implement our new </w:t>
      </w:r>
      <w:r w:rsidR="00223ACE">
        <w:t>Statement of Investment Polic</w:t>
      </w:r>
      <w:r w:rsidR="00F168C0">
        <w:t>ies</w:t>
      </w:r>
      <w:r w:rsidR="00223ACE">
        <w:t xml:space="preserve"> and Objectives</w:t>
      </w:r>
      <w:r w:rsidRPr="00DF6361">
        <w:t xml:space="preserve">. </w:t>
      </w:r>
    </w:p>
    <w:p w14:paraId="57C78FB6" w14:textId="2B0A8590" w:rsidR="00E001AF" w:rsidRDefault="00E001AF" w:rsidP="00F54ACD">
      <w:pPr>
        <w:pStyle w:val="Heading3"/>
      </w:pPr>
      <w:bookmarkStart w:id="68" w:name="_Toc199876533"/>
      <w:bookmarkStart w:id="69" w:name="_Toc199919231"/>
      <w:bookmarkStart w:id="70" w:name="_Toc199941819"/>
      <w:bookmarkStart w:id="71" w:name="_Toc231890654"/>
      <w:r>
        <w:t>Reliance on</w:t>
      </w:r>
      <w:r w:rsidR="007B58A6">
        <w:t xml:space="preserve"> traditional</w:t>
      </w:r>
      <w:r>
        <w:t xml:space="preserve"> </w:t>
      </w:r>
      <w:r w:rsidR="006341AA">
        <w:t>reinsurance capital as the main source of risk finance</w:t>
      </w:r>
      <w:bookmarkEnd w:id="68"/>
      <w:bookmarkEnd w:id="69"/>
      <w:bookmarkEnd w:id="70"/>
      <w:bookmarkEnd w:id="71"/>
      <w:r w:rsidR="006341AA">
        <w:t xml:space="preserve"> </w:t>
      </w:r>
    </w:p>
    <w:p w14:paraId="71CF9580" w14:textId="2E5752FF" w:rsidR="005B6349" w:rsidRDefault="002C7A57" w:rsidP="00166A61">
      <w:pPr>
        <w:spacing w:after="120"/>
      </w:pPr>
      <w:r w:rsidRPr="00326291">
        <w:t xml:space="preserve">Another challenge is our reliance on </w:t>
      </w:r>
      <w:r w:rsidR="00A73D80" w:rsidRPr="00326291">
        <w:t xml:space="preserve">global markets </w:t>
      </w:r>
      <w:r w:rsidR="006341AA">
        <w:t xml:space="preserve">for </w:t>
      </w:r>
      <w:r w:rsidR="007B58A6">
        <w:t xml:space="preserve">traditional </w:t>
      </w:r>
      <w:r w:rsidR="00A73D80" w:rsidRPr="00326291">
        <w:t xml:space="preserve">reinsurance, which can be volatile. </w:t>
      </w:r>
      <w:r w:rsidR="00023AF9">
        <w:t>To mitigate this</w:t>
      </w:r>
      <w:r w:rsidR="00A35A43">
        <w:t>,</w:t>
      </w:r>
      <w:r w:rsidR="006C0A1B" w:rsidRPr="00326291">
        <w:t xml:space="preserve"> we </w:t>
      </w:r>
      <w:r w:rsidR="006727FF">
        <w:t xml:space="preserve">have </w:t>
      </w:r>
      <w:r w:rsidR="006C0A1B" w:rsidRPr="00326291">
        <w:t>position</w:t>
      </w:r>
      <w:r w:rsidR="006727FF">
        <w:t>ed</w:t>
      </w:r>
      <w:r w:rsidR="006C0A1B" w:rsidRPr="00326291">
        <w:t xml:space="preserve"> ourselves as consistent buyers and long-term partners. </w:t>
      </w:r>
      <w:r w:rsidR="00C900D9">
        <w:t xml:space="preserve">We also sought to diversify our sources of risk capital </w:t>
      </w:r>
      <w:r w:rsidR="0080289C">
        <w:t>by</w:t>
      </w:r>
      <w:r w:rsidR="00C900D9">
        <w:t xml:space="preserve"> plac</w:t>
      </w:r>
      <w:r w:rsidR="0080289C">
        <w:t>ing</w:t>
      </w:r>
      <w:r w:rsidR="00C900D9">
        <w:t xml:space="preserve"> our first cat bond in 2023.</w:t>
      </w:r>
      <w:r w:rsidR="00113263">
        <w:t xml:space="preserve">  </w:t>
      </w:r>
    </w:p>
    <w:p w14:paraId="1D82B274" w14:textId="491E7BA1" w:rsidR="00B43A0A" w:rsidRDefault="00B43A0A" w:rsidP="00166A61">
      <w:pPr>
        <w:spacing w:after="120"/>
      </w:pPr>
      <w:r>
        <w:t xml:space="preserve">Analysis undertaken as part of the FRMS on a break-even </w:t>
      </w:r>
      <w:r w:rsidR="005533EC">
        <w:t xml:space="preserve">NHI </w:t>
      </w:r>
      <w:r>
        <w:t xml:space="preserve">levy includes an allowance </w:t>
      </w:r>
      <w:r w:rsidR="00517C43">
        <w:t xml:space="preserve">of 3 cents per $100 of cover </w:t>
      </w:r>
      <w:r>
        <w:t xml:space="preserve">for the </w:t>
      </w:r>
      <w:r w:rsidR="00842552">
        <w:t xml:space="preserve">net </w:t>
      </w:r>
      <w:r>
        <w:t>cost of risk financing over time. Th</w:t>
      </w:r>
      <w:r w:rsidR="00623587">
        <w:t xml:space="preserve">is represents </w:t>
      </w:r>
      <w:r w:rsidR="00346960">
        <w:t xml:space="preserve">a </w:t>
      </w:r>
      <w:r w:rsidR="00346960" w:rsidRPr="00214A70">
        <w:t xml:space="preserve">maximum </w:t>
      </w:r>
      <w:r w:rsidR="00611341">
        <w:t xml:space="preserve">allowable </w:t>
      </w:r>
      <w:r w:rsidR="00925158">
        <w:t>cost to</w:t>
      </w:r>
      <w:r w:rsidR="00BE1E08">
        <w:t xml:space="preserve"> buy</w:t>
      </w:r>
      <w:r w:rsidR="00565478">
        <w:t xml:space="preserve"> </w:t>
      </w:r>
      <w:r w:rsidR="00611341">
        <w:t xml:space="preserve">$100 of </w:t>
      </w:r>
      <w:r w:rsidR="00565478">
        <w:t>reinsurance cover over the five</w:t>
      </w:r>
      <w:r w:rsidR="0086090F">
        <w:t>-</w:t>
      </w:r>
      <w:r w:rsidR="00565478">
        <w:t>year FRMS period</w:t>
      </w:r>
      <w:r w:rsidR="009055B6">
        <w:t>, including the potential</w:t>
      </w:r>
      <w:r w:rsidR="00D83EAA">
        <w:t xml:space="preserve"> changes in pric</w:t>
      </w:r>
      <w:r w:rsidR="00EE0A5D">
        <w:t>ing</w:t>
      </w:r>
      <w:r w:rsidR="00D83EAA">
        <w:t xml:space="preserve"> </w:t>
      </w:r>
      <w:r w:rsidR="00870F0D">
        <w:t xml:space="preserve">after </w:t>
      </w:r>
      <w:r w:rsidR="00D83EAA">
        <w:t xml:space="preserve">an event. </w:t>
      </w:r>
      <w:r w:rsidR="007C656C">
        <w:t>We look</w:t>
      </w:r>
      <w:r w:rsidR="005D4B9B" w:rsidDel="007C656C">
        <w:t xml:space="preserve"> </w:t>
      </w:r>
      <w:r w:rsidR="005D4B9B">
        <w:t>to manage</w:t>
      </w:r>
      <w:r w:rsidR="001636B7">
        <w:t xml:space="preserve"> our</w:t>
      </w:r>
      <w:r w:rsidR="005D4B9B" w:rsidDel="001636B7">
        <w:t xml:space="preserve"> </w:t>
      </w:r>
      <w:r w:rsidR="00757F2B">
        <w:t xml:space="preserve">budget carefully to ensure the </w:t>
      </w:r>
      <w:r w:rsidR="00EE0A5D">
        <w:t xml:space="preserve">risk transfer </w:t>
      </w:r>
      <w:r w:rsidR="00BF291F">
        <w:t>programme remains effective and efficient</w:t>
      </w:r>
      <w:r w:rsidR="00625C34">
        <w:t>,</w:t>
      </w:r>
      <w:r w:rsidR="00BF291F">
        <w:t xml:space="preserve"> and the organisation </w:t>
      </w:r>
      <w:r w:rsidR="00EB6FDA">
        <w:t xml:space="preserve">retains </w:t>
      </w:r>
      <w:r w:rsidR="00AB17E0">
        <w:t xml:space="preserve">flexibility </w:t>
      </w:r>
      <w:r w:rsidR="00641477">
        <w:t xml:space="preserve">over the </w:t>
      </w:r>
      <w:r w:rsidR="00445DFC">
        <w:t xml:space="preserve">FRMS period to manage a range of contingencies. </w:t>
      </w:r>
      <w:r w:rsidR="00FB487D">
        <w:t xml:space="preserve">Any </w:t>
      </w:r>
      <w:r w:rsidR="00787CAC">
        <w:t>‘</w:t>
      </w:r>
      <w:r w:rsidR="00FB487D">
        <w:t>savings</w:t>
      </w:r>
      <w:r w:rsidR="00787CAC">
        <w:t>’</w:t>
      </w:r>
      <w:r w:rsidR="00FB487D">
        <w:t xml:space="preserve"> from lower reinsurance spend are retained in the NHF</w:t>
      </w:r>
      <w:r w:rsidR="00B821DC">
        <w:t>.</w:t>
      </w:r>
    </w:p>
    <w:p w14:paraId="4216E6CE" w14:textId="3179A8F4" w:rsidR="007C48A1" w:rsidRPr="00326291" w:rsidRDefault="00E36648" w:rsidP="00166A61">
      <w:pPr>
        <w:spacing w:after="120"/>
      </w:pPr>
      <w:r>
        <w:t>Growth of the N</w:t>
      </w:r>
      <w:r w:rsidR="00F24EA7">
        <w:t>H</w:t>
      </w:r>
      <w:r>
        <w:t xml:space="preserve">F over time will provide a considerable </w:t>
      </w:r>
      <w:r w:rsidR="005B6349">
        <w:t>mitigation</w:t>
      </w:r>
      <w:r w:rsidR="00192148">
        <w:t xml:space="preserve"> agai</w:t>
      </w:r>
      <w:r w:rsidR="00BB0ED9">
        <w:t xml:space="preserve">nst the volatility of global </w:t>
      </w:r>
      <w:r w:rsidR="00EE0A5D">
        <w:t xml:space="preserve">risk transfer </w:t>
      </w:r>
      <w:r w:rsidR="00BB0ED9">
        <w:t>markets</w:t>
      </w:r>
      <w:r w:rsidR="005B6349">
        <w:t>.</w:t>
      </w:r>
      <w:r w:rsidR="003923F1">
        <w:t xml:space="preserve"> The growth of res</w:t>
      </w:r>
      <w:r w:rsidR="00AE6443">
        <w:t xml:space="preserve">erves held in the NHF will provide a significant buffer for </w:t>
      </w:r>
      <w:r w:rsidR="00BA1CC4">
        <w:t>us</w:t>
      </w:r>
      <w:r w:rsidR="00AE6443">
        <w:t xml:space="preserve"> </w:t>
      </w:r>
      <w:r w:rsidR="00B61D15">
        <w:t>and provide the Board</w:t>
      </w:r>
      <w:r w:rsidR="008A6344">
        <w:t xml:space="preserve"> with options</w:t>
      </w:r>
      <w:r w:rsidR="00B61D15">
        <w:t xml:space="preserve"> </w:t>
      </w:r>
      <w:r w:rsidR="00AE6443">
        <w:t>to weather any potential volatility in global markets</w:t>
      </w:r>
      <w:r w:rsidR="008F2B2F">
        <w:t>.</w:t>
      </w:r>
      <w:r w:rsidR="00255080">
        <w:t xml:space="preserve"> </w:t>
      </w:r>
      <w:r w:rsidR="003F6845">
        <w:t>Any substantial g</w:t>
      </w:r>
      <w:r w:rsidR="00255080">
        <w:t xml:space="preserve">rowth of </w:t>
      </w:r>
      <w:r w:rsidR="00540E59">
        <w:t xml:space="preserve">our reserves </w:t>
      </w:r>
      <w:r w:rsidR="003F6845">
        <w:t xml:space="preserve">over the coming five years is </w:t>
      </w:r>
      <w:r w:rsidR="00E0236A">
        <w:t xml:space="preserve">dependent </w:t>
      </w:r>
      <w:r w:rsidR="00540E59">
        <w:t xml:space="preserve">on </w:t>
      </w:r>
      <w:r w:rsidR="003825E4">
        <w:t xml:space="preserve">an increase in our existing </w:t>
      </w:r>
      <w:r w:rsidR="005533EC">
        <w:t xml:space="preserve">NHI </w:t>
      </w:r>
      <w:r w:rsidR="003825E4">
        <w:t>levy.</w:t>
      </w:r>
      <w:r w:rsidR="00C87EB4">
        <w:t xml:space="preserve">  </w:t>
      </w:r>
    </w:p>
    <w:p w14:paraId="4BE9E21D" w14:textId="50296781" w:rsidR="00CB0288" w:rsidRPr="0068768E" w:rsidRDefault="00BD291C" w:rsidP="009A36AE">
      <w:pPr>
        <w:pStyle w:val="Heading3"/>
        <w:rPr>
          <w:b w:val="0"/>
        </w:rPr>
      </w:pPr>
      <w:bookmarkStart w:id="72" w:name="_Toc198060261"/>
      <w:bookmarkStart w:id="73" w:name="_Toc198060315"/>
      <w:bookmarkStart w:id="74" w:name="_Toc198065076"/>
      <w:bookmarkStart w:id="75" w:name="_Toc198615232"/>
      <w:bookmarkStart w:id="76" w:name="_Toc199337452"/>
      <w:bookmarkStart w:id="77" w:name="_Toc199338285"/>
      <w:bookmarkStart w:id="78" w:name="_Toc199422607"/>
      <w:bookmarkStart w:id="79" w:name="_Toc199876534"/>
      <w:bookmarkStart w:id="80" w:name="_Toc199919232"/>
      <w:bookmarkStart w:id="81" w:name="_Toc199941820"/>
      <w:bookmarkStart w:id="82" w:name="_Toc231890655"/>
      <w:r w:rsidRPr="0068768E">
        <w:t>Climate change</w:t>
      </w:r>
      <w:bookmarkEnd w:id="72"/>
      <w:bookmarkEnd w:id="73"/>
      <w:bookmarkEnd w:id="74"/>
      <w:bookmarkEnd w:id="75"/>
      <w:bookmarkEnd w:id="76"/>
      <w:bookmarkEnd w:id="77"/>
      <w:bookmarkEnd w:id="78"/>
      <w:bookmarkEnd w:id="79"/>
      <w:bookmarkEnd w:id="80"/>
      <w:bookmarkEnd w:id="81"/>
      <w:bookmarkEnd w:id="82"/>
    </w:p>
    <w:p w14:paraId="240068A0" w14:textId="63EB76BA" w:rsidR="0014285D" w:rsidRDefault="00F00F31" w:rsidP="006D0F92">
      <w:pPr>
        <w:spacing w:after="120"/>
      </w:pPr>
      <w:r w:rsidRPr="00F00F31">
        <w:t xml:space="preserve">Climate change can increase the severity of some natural hazard risks, such as storms and floods, which can damage land </w:t>
      </w:r>
      <w:r w:rsidR="00BA1CC4">
        <w:t>we insur</w:t>
      </w:r>
      <w:r w:rsidR="00BA3844">
        <w:t>e</w:t>
      </w:r>
      <w:r w:rsidRPr="00F00F31">
        <w:t xml:space="preserve">. However, most of the </w:t>
      </w:r>
      <w:r w:rsidR="00A81D72">
        <w:t xml:space="preserve">natural hazards </w:t>
      </w:r>
      <w:r w:rsidR="005A0859">
        <w:t xml:space="preserve">covered by the </w:t>
      </w:r>
      <w:r w:rsidR="00BC0F3E">
        <w:t xml:space="preserve">NHI </w:t>
      </w:r>
      <w:r w:rsidR="00EC1E21">
        <w:t>s</w:t>
      </w:r>
      <w:r w:rsidR="000553C4">
        <w:t>cheme are not substantially</w:t>
      </w:r>
      <w:r w:rsidR="00BE2DF6">
        <w:t xml:space="preserve"> financially</w:t>
      </w:r>
      <w:r w:rsidR="000553C4">
        <w:t xml:space="preserve"> impacted by climate change</w:t>
      </w:r>
      <w:r w:rsidR="008458B7">
        <w:t xml:space="preserve"> in the medium term</w:t>
      </w:r>
      <w:r w:rsidR="000553C4">
        <w:t xml:space="preserve">. </w:t>
      </w:r>
      <w:r w:rsidR="002C515C">
        <w:t>External research indicates c</w:t>
      </w:r>
      <w:r w:rsidR="00B33B8E" w:rsidRPr="00B33B8E">
        <w:t xml:space="preserve">limate change </w:t>
      </w:r>
      <w:r w:rsidR="00BB0ED9">
        <w:t xml:space="preserve">losses </w:t>
      </w:r>
      <w:r w:rsidR="006422DC">
        <w:t>will</w:t>
      </w:r>
      <w:r w:rsidR="00BB0ED9">
        <w:t xml:space="preserve"> be</w:t>
      </w:r>
      <w:r w:rsidR="00B33B8E" w:rsidRPr="00B33B8E">
        <w:t xml:space="preserve"> between 7</w:t>
      </w:r>
      <w:r w:rsidR="00D34AB2">
        <w:t xml:space="preserve"> </w:t>
      </w:r>
      <w:r w:rsidR="009158A4">
        <w:t xml:space="preserve">and </w:t>
      </w:r>
      <w:r w:rsidR="00B33B8E" w:rsidRPr="00B33B8E">
        <w:t>8</w:t>
      </w:r>
      <w:r w:rsidR="004E00D3">
        <w:t xml:space="preserve"> percent</w:t>
      </w:r>
      <w:r w:rsidR="008777D4">
        <w:t xml:space="preserve"> our liabilities</w:t>
      </w:r>
      <w:r w:rsidR="00B33B8E" w:rsidRPr="00B33B8E">
        <w:t xml:space="preserve"> for 2020–2040 and 9</w:t>
      </w:r>
      <w:r w:rsidR="00A35E3C">
        <w:t xml:space="preserve"> and </w:t>
      </w:r>
      <w:r w:rsidR="00B33B8E" w:rsidRPr="00B33B8E">
        <w:t>25</w:t>
      </w:r>
      <w:r w:rsidR="004E00D3">
        <w:t xml:space="preserve"> percent</w:t>
      </w:r>
      <w:r w:rsidR="00B33B8E" w:rsidRPr="00B33B8E">
        <w:t xml:space="preserve"> for 2080–2100</w:t>
      </w:r>
      <w:r w:rsidR="00B33B8E">
        <w:t>.</w:t>
      </w:r>
      <w:r w:rsidR="00AB3FAC">
        <w:rPr>
          <w:rStyle w:val="FootnoteReference"/>
        </w:rPr>
        <w:footnoteReference w:id="5"/>
      </w:r>
      <w:r w:rsidR="00B33B8E">
        <w:t xml:space="preserve"> </w:t>
      </w:r>
    </w:p>
    <w:p w14:paraId="625F8F40" w14:textId="493E07A4" w:rsidR="00CB0288" w:rsidRDefault="000553C4" w:rsidP="006D0F92">
      <w:pPr>
        <w:spacing w:after="120"/>
      </w:pPr>
      <w:r>
        <w:lastRenderedPageBreak/>
        <w:t>That said, u</w:t>
      </w:r>
      <w:r w:rsidR="00CB0288" w:rsidRPr="00B84D21">
        <w:t>ncertainty about the impact of climate change on future claim losses</w:t>
      </w:r>
      <w:r w:rsidR="0064597E">
        <w:t xml:space="preserve"> </w:t>
      </w:r>
      <w:r>
        <w:t xml:space="preserve">will </w:t>
      </w:r>
      <w:r w:rsidR="0014285D">
        <w:t xml:space="preserve">likely </w:t>
      </w:r>
      <w:r w:rsidR="00EE4135">
        <w:t>affect</w:t>
      </w:r>
      <w:r w:rsidR="000F784C">
        <w:t xml:space="preserve"> </w:t>
      </w:r>
      <w:r w:rsidR="00AC55B4">
        <w:t xml:space="preserve">insurer and </w:t>
      </w:r>
      <w:r w:rsidR="000F784C">
        <w:t xml:space="preserve">reinsurer sentiment towards particular </w:t>
      </w:r>
      <w:r w:rsidR="008C1A70">
        <w:t xml:space="preserve">locations, </w:t>
      </w:r>
      <w:r w:rsidR="000F784C">
        <w:t>countries</w:t>
      </w:r>
      <w:r w:rsidR="008969E7">
        <w:t>,</w:t>
      </w:r>
      <w:r w:rsidR="000F784C">
        <w:t xml:space="preserve"> and territories</w:t>
      </w:r>
      <w:r w:rsidR="00EE4135">
        <w:t>.</w:t>
      </w:r>
      <w:r w:rsidR="000F784C">
        <w:t xml:space="preserve"> </w:t>
      </w:r>
      <w:r w:rsidR="00EE4135">
        <w:t xml:space="preserve">It will also </w:t>
      </w:r>
      <w:r w:rsidR="0080341E">
        <w:t xml:space="preserve">potentially </w:t>
      </w:r>
      <w:r w:rsidR="00EE4135">
        <w:t xml:space="preserve">affect </w:t>
      </w:r>
      <w:r w:rsidR="000F784C">
        <w:t xml:space="preserve">overall </w:t>
      </w:r>
      <w:r w:rsidR="00CB0288" w:rsidRPr="00B84D21">
        <w:t>capital availability or pricing for risk transfer.</w:t>
      </w:r>
      <w:r w:rsidR="008C1A70">
        <w:t xml:space="preserve"> </w:t>
      </w:r>
      <w:r w:rsidR="00FF3608">
        <w:t>Our R</w:t>
      </w:r>
      <w:r w:rsidR="009E04BF">
        <w:t xml:space="preserve">esilience Strategy for Natural Hazard Risk Reduction </w:t>
      </w:r>
      <w:r w:rsidR="001673E6">
        <w:t xml:space="preserve">prioritises </w:t>
      </w:r>
      <w:r w:rsidR="001B12FD">
        <w:t xml:space="preserve">five actions to understand how </w:t>
      </w:r>
      <w:r w:rsidR="007B57C7">
        <w:t xml:space="preserve">our natural hazard risk is changing, and how New Zealand can best position itself to manage that risk: </w:t>
      </w:r>
    </w:p>
    <w:p w14:paraId="0C79FF6F" w14:textId="7D703560" w:rsidR="007B57C7" w:rsidRDefault="002E143D" w:rsidP="001B492B">
      <w:pPr>
        <w:pStyle w:val="ListParagraph"/>
        <w:numPr>
          <w:ilvl w:val="0"/>
          <w:numId w:val="8"/>
        </w:numPr>
        <w:ind w:left="357" w:hanging="357"/>
        <w:contextualSpacing w:val="0"/>
      </w:pPr>
      <w:r>
        <w:t>Invest in research that enables an improved understanding of how our natural hazard risk is evolving, and will evolve further, in the face of climate change.</w:t>
      </w:r>
    </w:p>
    <w:p w14:paraId="386AC157" w14:textId="4A627674" w:rsidR="002E143D" w:rsidRDefault="002E143D" w:rsidP="001B492B">
      <w:pPr>
        <w:pStyle w:val="ListParagraph"/>
        <w:numPr>
          <w:ilvl w:val="0"/>
          <w:numId w:val="8"/>
        </w:numPr>
        <w:ind w:left="357" w:hanging="357"/>
        <w:contextualSpacing w:val="0"/>
      </w:pPr>
      <w:r>
        <w:t xml:space="preserve">Grow our risk and loss modelling capability </w:t>
      </w:r>
      <w:r w:rsidR="00EC557E">
        <w:t xml:space="preserve">to </w:t>
      </w:r>
      <w:r w:rsidR="00471740">
        <w:t>be able</w:t>
      </w:r>
      <w:r w:rsidR="00EC557E">
        <w:t xml:space="preserve"> to model changing natural hazard risk over multiple time horizons</w:t>
      </w:r>
      <w:r w:rsidR="00893D41">
        <w:t>.</w:t>
      </w:r>
    </w:p>
    <w:p w14:paraId="0C2258CB" w14:textId="6BB7E7A2" w:rsidR="00EC557E" w:rsidRDefault="00EC557E" w:rsidP="003C41FC">
      <w:pPr>
        <w:pStyle w:val="ListParagraph"/>
        <w:numPr>
          <w:ilvl w:val="0"/>
          <w:numId w:val="8"/>
        </w:numPr>
      </w:pPr>
      <w:r>
        <w:t>Develop and implement an internally focussed Climate Action Plan</w:t>
      </w:r>
      <w:r w:rsidR="00582AE7">
        <w:t>.</w:t>
      </w:r>
      <w:r>
        <w:t xml:space="preserve"> </w:t>
      </w:r>
      <w:r w:rsidR="00582AE7">
        <w:t xml:space="preserve">This will </w:t>
      </w:r>
      <w:r>
        <w:t xml:space="preserve">detail </w:t>
      </w:r>
      <w:r w:rsidR="00893D41">
        <w:t>how</w:t>
      </w:r>
      <w:r>
        <w:t xml:space="preserve"> </w:t>
      </w:r>
      <w:r w:rsidR="00521E6E">
        <w:t>we</w:t>
      </w:r>
      <w:r w:rsidR="000022DA">
        <w:t xml:space="preserve"> will contribute to emissions reduction, position the </w:t>
      </w:r>
      <w:r w:rsidR="00BC0F3E">
        <w:t>NHI s</w:t>
      </w:r>
      <w:r w:rsidR="000022DA">
        <w:t>cheme to adapt to the impacts of climate change on natural hazard risk, and drive and support climate-conscious natural hazard risk reduction</w:t>
      </w:r>
      <w:r w:rsidR="00893D41">
        <w:t>.</w:t>
      </w:r>
    </w:p>
    <w:p w14:paraId="7A7B9C44" w14:textId="638B8753" w:rsidR="000022DA" w:rsidRDefault="000022DA" w:rsidP="003C41FC">
      <w:pPr>
        <w:pStyle w:val="ListParagraph"/>
        <w:numPr>
          <w:ilvl w:val="0"/>
          <w:numId w:val="8"/>
        </w:numPr>
      </w:pPr>
      <w:r>
        <w:t xml:space="preserve">Enable and support homeowners and homebuyers to understand changing risk, and the actions they can take to reduce risk </w:t>
      </w:r>
      <w:r w:rsidR="00B805DD">
        <w:t>t</w:t>
      </w:r>
      <w:r>
        <w:t>o their property</w:t>
      </w:r>
      <w:r w:rsidR="00C37B85">
        <w:t>.</w:t>
      </w:r>
    </w:p>
    <w:p w14:paraId="3B3B007A" w14:textId="77777777" w:rsidR="004453D3" w:rsidRDefault="000022DA" w:rsidP="003C41FC">
      <w:pPr>
        <w:pStyle w:val="ListParagraph"/>
        <w:numPr>
          <w:ilvl w:val="0"/>
          <w:numId w:val="8"/>
        </w:numPr>
      </w:pPr>
      <w:r>
        <w:t xml:space="preserve">Drive a national conversation on natural hazard risk and risk management in the context of the increasing risk posed by climate change. </w:t>
      </w:r>
      <w:bookmarkStart w:id="83" w:name="_Toc198060262"/>
      <w:bookmarkStart w:id="84" w:name="_Toc198060316"/>
      <w:bookmarkStart w:id="85" w:name="_Toc198065077"/>
      <w:bookmarkStart w:id="86" w:name="_Toc198615233"/>
      <w:bookmarkStart w:id="87" w:name="_Toc199337453"/>
      <w:bookmarkStart w:id="88" w:name="_Toc199338286"/>
      <w:bookmarkStart w:id="89" w:name="_Toc199422608"/>
      <w:bookmarkStart w:id="90" w:name="_Toc199876535"/>
      <w:bookmarkStart w:id="91" w:name="_Toc199919233"/>
      <w:bookmarkStart w:id="92" w:name="_Toc199941821"/>
    </w:p>
    <w:p w14:paraId="098A257B" w14:textId="44FE3CC7" w:rsidR="00E1262A" w:rsidRPr="0068768E" w:rsidRDefault="00E1262A" w:rsidP="009A36AE">
      <w:pPr>
        <w:pStyle w:val="Heading3"/>
        <w:rPr>
          <w:b w:val="0"/>
        </w:rPr>
      </w:pPr>
      <w:bookmarkStart w:id="93" w:name="_Toc231890656"/>
      <w:r w:rsidRPr="00326291">
        <w:t xml:space="preserve">Increasing </w:t>
      </w:r>
      <w:r w:rsidR="003A56F5">
        <w:t xml:space="preserve">residential </w:t>
      </w:r>
      <w:r w:rsidRPr="00326291">
        <w:t xml:space="preserve">insurance costs </w:t>
      </w:r>
      <w:r w:rsidRPr="00EE0A5D">
        <w:t xml:space="preserve">and </w:t>
      </w:r>
      <w:r w:rsidR="00D657DD" w:rsidRPr="00EE0A5D">
        <w:t xml:space="preserve">possible implications for </w:t>
      </w:r>
      <w:r w:rsidRPr="00EE0A5D">
        <w:t>insurance</w:t>
      </w:r>
      <w:r w:rsidRPr="00326291">
        <w:t xml:space="preserve"> penetration</w:t>
      </w:r>
      <w:bookmarkEnd w:id="83"/>
      <w:bookmarkEnd w:id="84"/>
      <w:bookmarkEnd w:id="85"/>
      <w:bookmarkEnd w:id="86"/>
      <w:bookmarkEnd w:id="87"/>
      <w:bookmarkEnd w:id="88"/>
      <w:bookmarkEnd w:id="89"/>
      <w:bookmarkEnd w:id="90"/>
      <w:bookmarkEnd w:id="91"/>
      <w:bookmarkEnd w:id="92"/>
      <w:bookmarkEnd w:id="93"/>
      <w:r w:rsidRPr="0068768E">
        <w:rPr>
          <w:b w:val="0"/>
        </w:rPr>
        <w:t xml:space="preserve"> </w:t>
      </w:r>
    </w:p>
    <w:p w14:paraId="687F9C64" w14:textId="54D69AD8" w:rsidR="003A4300" w:rsidRDefault="005B5D88" w:rsidP="006D0F92">
      <w:pPr>
        <w:spacing w:after="120"/>
      </w:pPr>
      <w:r>
        <w:t>New Zealand has a very high uptake for residential insurance</w:t>
      </w:r>
      <w:r w:rsidR="008432F9">
        <w:t>,</w:t>
      </w:r>
      <w:r w:rsidR="003F11D2">
        <w:t xml:space="preserve"> with</w:t>
      </w:r>
      <w:r w:rsidR="003A4300">
        <w:t xml:space="preserve"> more than 90 percent of all New Zealand residential properties covered for natural hazards.</w:t>
      </w:r>
      <w:r w:rsidR="008F3F97">
        <w:t xml:space="preserve"> </w:t>
      </w:r>
      <w:r w:rsidR="002B33FB">
        <w:t xml:space="preserve">This increases the confidence that </w:t>
      </w:r>
      <w:r w:rsidR="00851F70">
        <w:t>t</w:t>
      </w:r>
      <w:r w:rsidR="00CE0CBB">
        <w:t xml:space="preserve">he Government </w:t>
      </w:r>
      <w:r w:rsidR="00250FCB">
        <w:t>can</w:t>
      </w:r>
      <w:r w:rsidR="00CE0CBB">
        <w:t xml:space="preserve"> rely on the insurance industry to respond </w:t>
      </w:r>
      <w:r w:rsidR="00B47D59">
        <w:t xml:space="preserve">to events in an orderly and predictable </w:t>
      </w:r>
      <w:r w:rsidR="00DD557A">
        <w:t>financial</w:t>
      </w:r>
      <w:r w:rsidR="00B47D59">
        <w:t xml:space="preserve"> manner</w:t>
      </w:r>
      <w:r w:rsidR="008432F9">
        <w:t>.</w:t>
      </w:r>
      <w:r w:rsidR="00B47D59">
        <w:t xml:space="preserve"> </w:t>
      </w:r>
      <w:r w:rsidR="008432F9">
        <w:t xml:space="preserve">This was </w:t>
      </w:r>
      <w:r w:rsidR="0027158A">
        <w:t xml:space="preserve">demonstrated </w:t>
      </w:r>
      <w:r w:rsidR="008432F9">
        <w:t xml:space="preserve">in </w:t>
      </w:r>
      <w:r w:rsidR="0027158A">
        <w:t xml:space="preserve">the Canterbury </w:t>
      </w:r>
      <w:r w:rsidR="00223319">
        <w:t>e</w:t>
      </w:r>
      <w:r w:rsidR="0027158A">
        <w:t xml:space="preserve">arthquake </w:t>
      </w:r>
      <w:r w:rsidR="00223319">
        <w:t>s</w:t>
      </w:r>
      <w:r w:rsidR="0027158A">
        <w:t>equence</w:t>
      </w:r>
      <w:r w:rsidR="008432F9">
        <w:t>,</w:t>
      </w:r>
      <w:r w:rsidR="0027158A">
        <w:t xml:space="preserve"> where around</w:t>
      </w:r>
      <w:r w:rsidR="00B47D59">
        <w:t xml:space="preserve"> 70 percent of all losses </w:t>
      </w:r>
      <w:r w:rsidR="0027158A">
        <w:t>were</w:t>
      </w:r>
      <w:r w:rsidR="00851F70">
        <w:t xml:space="preserve"> covered by insurance and reinsurance.</w:t>
      </w:r>
    </w:p>
    <w:p w14:paraId="3C77FABE" w14:textId="65BD580A" w:rsidR="008F3F97" w:rsidRDefault="005B5D88" w:rsidP="006D0F92">
      <w:pPr>
        <w:spacing w:after="120"/>
      </w:pPr>
      <w:r>
        <w:t xml:space="preserve">As </w:t>
      </w:r>
      <w:r w:rsidR="003A56F5">
        <w:t xml:space="preserve">residential </w:t>
      </w:r>
      <w:r>
        <w:t>i</w:t>
      </w:r>
      <w:r w:rsidR="00E1262A" w:rsidRPr="00B84D21">
        <w:t>nsurance prices have increased in recent years</w:t>
      </w:r>
      <w:r w:rsidR="00311DE9">
        <w:t>,</w:t>
      </w:r>
      <w:r>
        <w:t xml:space="preserve"> there are concerns </w:t>
      </w:r>
      <w:r w:rsidR="005D2B41">
        <w:t xml:space="preserve">that the cost of insurance may reach levels where it is unsustainable for some </w:t>
      </w:r>
      <w:r w:rsidR="002520DE">
        <w:t xml:space="preserve">homeowners to continue to insure their property.  </w:t>
      </w:r>
    </w:p>
    <w:p w14:paraId="5B708057" w14:textId="093E0F84" w:rsidR="000E3BBE" w:rsidRPr="001F2C5D" w:rsidRDefault="00851F70" w:rsidP="006D0F92">
      <w:pPr>
        <w:spacing w:after="120"/>
      </w:pPr>
      <w:r>
        <w:t xml:space="preserve">A substantial reduction in insurance penetration </w:t>
      </w:r>
      <w:r w:rsidR="008F3F97">
        <w:t xml:space="preserve">would potentially increase pressure on the Government </w:t>
      </w:r>
      <w:r>
        <w:t>to intervene</w:t>
      </w:r>
      <w:r w:rsidR="004B1F37">
        <w:t xml:space="preserve"> to support residential homeowners</w:t>
      </w:r>
      <w:r>
        <w:t xml:space="preserve"> </w:t>
      </w:r>
      <w:r w:rsidR="00FC1F05">
        <w:t xml:space="preserve">after </w:t>
      </w:r>
      <w:r>
        <w:t xml:space="preserve">a </w:t>
      </w:r>
      <w:r w:rsidR="00B33B8E">
        <w:t>large-scale</w:t>
      </w:r>
      <w:r>
        <w:t xml:space="preserve"> natural hazard event</w:t>
      </w:r>
      <w:r w:rsidR="009D41A6">
        <w:t xml:space="preserve">.  </w:t>
      </w:r>
    </w:p>
    <w:p w14:paraId="374E5C9B" w14:textId="22DFCBEA" w:rsidR="00013228" w:rsidRPr="00592812" w:rsidRDefault="004C3272" w:rsidP="00592812">
      <w:pPr>
        <w:pStyle w:val="Heading1"/>
      </w:pPr>
      <w:bookmarkStart w:id="94" w:name="_Toc199337454"/>
      <w:bookmarkStart w:id="95" w:name="_Toc877300472"/>
      <w:bookmarkStart w:id="96" w:name="_Toc231890657"/>
      <w:r>
        <w:t xml:space="preserve">Our </w:t>
      </w:r>
      <w:r w:rsidR="00B00515">
        <w:t>r</w:t>
      </w:r>
      <w:r w:rsidR="00670EED">
        <w:t xml:space="preserve">isk </w:t>
      </w:r>
      <w:r w:rsidR="00B00515">
        <w:t>f</w:t>
      </w:r>
      <w:r w:rsidR="00670EED">
        <w:t xml:space="preserve">inancing </w:t>
      </w:r>
      <w:r w:rsidR="00B00515">
        <w:t>s</w:t>
      </w:r>
      <w:r w:rsidR="00670EED">
        <w:t>trategy</w:t>
      </w:r>
      <w:bookmarkEnd w:id="94"/>
      <w:bookmarkEnd w:id="95"/>
      <w:bookmarkEnd w:id="96"/>
    </w:p>
    <w:p w14:paraId="7240BCF4" w14:textId="12FF5D29" w:rsidR="000260B1" w:rsidRDefault="00987DE3" w:rsidP="0082419B">
      <w:pPr>
        <w:spacing w:after="120"/>
      </w:pPr>
      <w:r>
        <w:t xml:space="preserve">The FRMS provides </w:t>
      </w:r>
      <w:r w:rsidR="000260B1">
        <w:t xml:space="preserve">overarching financial </w:t>
      </w:r>
      <w:r w:rsidR="006832EA">
        <w:t>principles and</w:t>
      </w:r>
      <w:r w:rsidR="0082419B">
        <w:t xml:space="preserve"> outlines the current financial settings and levy settings and any proposed changes to them.</w:t>
      </w:r>
    </w:p>
    <w:p w14:paraId="5B8271E4" w14:textId="43C565B9" w:rsidR="007B7481" w:rsidRPr="001927BC" w:rsidRDefault="00A00937" w:rsidP="00AD1851">
      <w:pPr>
        <w:spacing w:after="120"/>
      </w:pPr>
      <w:r w:rsidRPr="0007748D">
        <w:lastRenderedPageBreak/>
        <w:t xml:space="preserve">Figure </w:t>
      </w:r>
      <w:r w:rsidR="00EB4124">
        <w:t>5</w:t>
      </w:r>
      <w:r w:rsidR="00EB4124" w:rsidRPr="0007748D">
        <w:t xml:space="preserve"> </w:t>
      </w:r>
      <w:r w:rsidR="000260B1" w:rsidRPr="0007748D">
        <w:t>sets</w:t>
      </w:r>
      <w:r w:rsidR="000260B1" w:rsidRPr="001927BC">
        <w:t xml:space="preserve"> out how the FRMS provides the overarching framework and then the respective roles and decision-making responsibilities of</w:t>
      </w:r>
      <w:r w:rsidR="00E027B5">
        <w:t xml:space="preserve"> </w:t>
      </w:r>
      <w:r w:rsidR="003F7609">
        <w:t>our Board</w:t>
      </w:r>
      <w:r w:rsidR="00E027B5">
        <w:t xml:space="preserve"> and</w:t>
      </w:r>
      <w:r w:rsidR="000260B1" w:rsidRPr="001927BC">
        <w:t xml:space="preserve"> the Minister</w:t>
      </w:r>
      <w:r w:rsidR="00E027B5">
        <w:t>.</w:t>
      </w:r>
    </w:p>
    <w:p w14:paraId="595F0F9A" w14:textId="3422683C" w:rsidR="00282FEF" w:rsidRPr="00B93C88" w:rsidRDefault="00282FEF" w:rsidP="00592C19">
      <w:pPr>
        <w:pStyle w:val="Caption"/>
        <w:keepNext/>
        <w:rPr>
          <w:i w:val="0"/>
          <w:sz w:val="20"/>
          <w:szCs w:val="20"/>
        </w:rPr>
      </w:pPr>
      <w:r w:rsidRPr="00B93C88">
        <w:rPr>
          <w:i w:val="0"/>
          <w:sz w:val="20"/>
          <w:szCs w:val="20"/>
        </w:rPr>
        <w:t xml:space="preserve">Figure </w:t>
      </w:r>
      <w:r w:rsidR="005F7B58" w:rsidRPr="00B93C88">
        <w:rPr>
          <w:i w:val="0"/>
          <w:sz w:val="20"/>
          <w:szCs w:val="20"/>
        </w:rPr>
        <w:t>5</w:t>
      </w:r>
      <w:r w:rsidR="000824C3" w:rsidRPr="00B93C88">
        <w:rPr>
          <w:i w:val="0"/>
          <w:sz w:val="20"/>
          <w:szCs w:val="20"/>
        </w:rPr>
        <w:t>:</w:t>
      </w:r>
      <w:r w:rsidRPr="00B93C88">
        <w:rPr>
          <w:i w:val="0"/>
          <w:sz w:val="20"/>
          <w:szCs w:val="20"/>
        </w:rPr>
        <w:t xml:space="preserve"> Illustration of the FRMS framework and respective roles and decision-making responsibilities of the Minister and the Board</w:t>
      </w:r>
    </w:p>
    <w:p w14:paraId="57520777" w14:textId="17A3C0A5" w:rsidR="00E610D2" w:rsidRDefault="009105C7" w:rsidP="00AD1851">
      <w:pPr>
        <w:spacing w:after="120"/>
      </w:pPr>
      <w:r w:rsidRPr="009105C7">
        <w:rPr>
          <w:noProof/>
        </w:rPr>
        <w:drawing>
          <wp:inline distT="0" distB="0" distL="0" distR="0" wp14:anchorId="00223451" wp14:editId="4B56BD2C">
            <wp:extent cx="5734050" cy="4168775"/>
            <wp:effectExtent l="0" t="0" r="0" b="3175"/>
            <wp:docPr id="1827976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976624" name=""/>
                    <pic:cNvPicPr/>
                  </pic:nvPicPr>
                  <pic:blipFill>
                    <a:blip r:embed="rId30"/>
                    <a:stretch>
                      <a:fillRect/>
                    </a:stretch>
                  </pic:blipFill>
                  <pic:spPr>
                    <a:xfrm>
                      <a:off x="0" y="0"/>
                      <a:ext cx="5734050" cy="4168775"/>
                    </a:xfrm>
                    <a:prstGeom prst="rect">
                      <a:avLst/>
                    </a:prstGeom>
                  </pic:spPr>
                </pic:pic>
              </a:graphicData>
            </a:graphic>
          </wp:inline>
        </w:drawing>
      </w:r>
    </w:p>
    <w:p w14:paraId="12224B26" w14:textId="5361504A" w:rsidR="007657DA" w:rsidRDefault="00885AD2" w:rsidP="00AD1851">
      <w:pPr>
        <w:spacing w:after="120"/>
      </w:pPr>
      <w:r>
        <w:t xml:space="preserve">Levy settings determine </w:t>
      </w:r>
      <w:r w:rsidR="003F7609">
        <w:t xml:space="preserve">our </w:t>
      </w:r>
      <w:r w:rsidR="005533EC">
        <w:t xml:space="preserve">NHI </w:t>
      </w:r>
      <w:r>
        <w:t xml:space="preserve">levy income. </w:t>
      </w:r>
      <w:r w:rsidR="001D07B5" w:rsidRPr="00800B48">
        <w:t>We regular</w:t>
      </w:r>
      <w:r w:rsidR="00C071E4">
        <w:t>ly</w:t>
      </w:r>
      <w:r w:rsidR="001D07B5" w:rsidRPr="00800B48">
        <w:t xml:space="preserve"> monitor and model the expected costs of the</w:t>
      </w:r>
      <w:r w:rsidR="00BC0F3E">
        <w:t xml:space="preserve"> NHI</w:t>
      </w:r>
      <w:r w:rsidR="001D07B5" w:rsidRPr="00800B48">
        <w:t xml:space="preserve"> </w:t>
      </w:r>
      <w:r w:rsidR="00042F7E">
        <w:t>s</w:t>
      </w:r>
      <w:r w:rsidR="001D07B5" w:rsidRPr="00800B48">
        <w:t xml:space="preserve">cheme. We update </w:t>
      </w:r>
      <w:r w:rsidR="00042F7E">
        <w:t xml:space="preserve">the </w:t>
      </w:r>
      <w:r w:rsidR="001D07B5" w:rsidRPr="00800B48">
        <w:t xml:space="preserve">Treasury about this work as part of our regular </w:t>
      </w:r>
      <w:r w:rsidR="00DF37A3" w:rsidRPr="00800B48">
        <w:t>reporting</w:t>
      </w:r>
      <w:r w:rsidR="00DF37A3">
        <w:t xml:space="preserve"> and</w:t>
      </w:r>
      <w:r w:rsidR="001D07B5" w:rsidRPr="00800B48">
        <w:t xml:space="preserve"> provide analysis on what a </w:t>
      </w:r>
      <w:r w:rsidR="00067E05">
        <w:t>br</w:t>
      </w:r>
      <w:r w:rsidR="00CD2047">
        <w:t>eak-even</w:t>
      </w:r>
      <w:r w:rsidR="00067E05" w:rsidRPr="00800B48">
        <w:t xml:space="preserve"> </w:t>
      </w:r>
      <w:r w:rsidR="0047301A">
        <w:t xml:space="preserve">NHI </w:t>
      </w:r>
      <w:r w:rsidR="001D07B5" w:rsidRPr="00800B48">
        <w:t>levy rate is.</w:t>
      </w:r>
      <w:r w:rsidR="001D07B5">
        <w:t xml:space="preserve"> </w:t>
      </w:r>
      <w:r w:rsidR="00D6491D">
        <w:t>We</w:t>
      </w:r>
      <w:r w:rsidR="00C01D9E">
        <w:t xml:space="preserve"> provide advice to the Minister</w:t>
      </w:r>
      <w:r w:rsidR="00BF6D58">
        <w:t xml:space="preserve"> </w:t>
      </w:r>
      <w:r w:rsidR="00590CFF">
        <w:t>to</w:t>
      </w:r>
      <w:r w:rsidR="008742E3">
        <w:t xml:space="preserve"> </w:t>
      </w:r>
      <w:r w:rsidR="00E8741C">
        <w:t>set</w:t>
      </w:r>
      <w:r w:rsidR="00F0679C">
        <w:t xml:space="preserve"> a </w:t>
      </w:r>
      <w:r w:rsidR="00C21069">
        <w:t xml:space="preserve">break-even </w:t>
      </w:r>
      <w:r w:rsidR="00CE3B3C">
        <w:t xml:space="preserve">NHI </w:t>
      </w:r>
      <w:r w:rsidR="00F0679C">
        <w:t>levy for the homeowners</w:t>
      </w:r>
      <w:r w:rsidR="0017676D">
        <w:t>,</w:t>
      </w:r>
      <w:r w:rsidR="00F0679C">
        <w:t xml:space="preserve"> which should </w:t>
      </w:r>
      <w:r w:rsidR="00D43246">
        <w:t>keep</w:t>
      </w:r>
      <w:r w:rsidR="00F0679C">
        <w:t xml:space="preserve"> the </w:t>
      </w:r>
      <w:r w:rsidR="00BC0F3E">
        <w:t xml:space="preserve">NHI </w:t>
      </w:r>
      <w:r w:rsidR="00FD7D60">
        <w:t>s</w:t>
      </w:r>
      <w:r w:rsidR="00F0679C">
        <w:t>cheme</w:t>
      </w:r>
      <w:r w:rsidR="00D43246">
        <w:t xml:space="preserve"> sustainable</w:t>
      </w:r>
      <w:r w:rsidR="00F0679C">
        <w:t xml:space="preserve">. </w:t>
      </w:r>
      <w:r w:rsidR="005B068E">
        <w:t>The</w:t>
      </w:r>
      <w:r w:rsidR="00600DC2">
        <w:t xml:space="preserve"> FRMS principles </w:t>
      </w:r>
      <w:r w:rsidR="005B068E">
        <w:t xml:space="preserve">of </w:t>
      </w:r>
      <w:r w:rsidR="0091065D">
        <w:t>‘s</w:t>
      </w:r>
      <w:r w:rsidR="005B068E">
        <w:t>che</w:t>
      </w:r>
      <w:r w:rsidR="0091065D">
        <w:t xml:space="preserve">me sustainability’ and ‘intergenerational equity’ </w:t>
      </w:r>
      <w:r w:rsidR="00600DC2">
        <w:t>inform our approach to</w:t>
      </w:r>
      <w:r w:rsidR="0091065D">
        <w:t xml:space="preserve"> developing advice</w:t>
      </w:r>
      <w:r w:rsidR="000633C2">
        <w:t xml:space="preserve"> to the Minister</w:t>
      </w:r>
      <w:r w:rsidR="0091065D">
        <w:t xml:space="preserve"> about the </w:t>
      </w:r>
      <w:r w:rsidR="00046287">
        <w:t xml:space="preserve">NHI </w:t>
      </w:r>
      <w:r w:rsidR="00A74413">
        <w:t>levy settings</w:t>
      </w:r>
      <w:r w:rsidR="0091065D">
        <w:t xml:space="preserve">. </w:t>
      </w:r>
      <w:r w:rsidR="00600DC2">
        <w:t xml:space="preserve"> </w:t>
      </w:r>
    </w:p>
    <w:p w14:paraId="200275D7" w14:textId="41778AFE" w:rsidR="007657DA" w:rsidRDefault="000633C2" w:rsidP="00AD1851">
      <w:pPr>
        <w:spacing w:after="120"/>
      </w:pPr>
      <w:r>
        <w:t>P</w:t>
      </w:r>
      <w:r w:rsidR="00885AD2">
        <w:t>art of the</w:t>
      </w:r>
      <w:r w:rsidR="00046287">
        <w:t xml:space="preserve"> NHI</w:t>
      </w:r>
      <w:r w:rsidR="00885AD2">
        <w:t xml:space="preserve"> levy income fund</w:t>
      </w:r>
      <w:r w:rsidR="00901A70">
        <w:t>s</w:t>
      </w:r>
      <w:r w:rsidR="00885AD2">
        <w:t xml:space="preserve"> the Risk Transfer </w:t>
      </w:r>
      <w:r w:rsidR="00AA3381">
        <w:t>P</w:t>
      </w:r>
      <w:r w:rsidR="00885AD2">
        <w:t>rogramme</w:t>
      </w:r>
      <w:r w:rsidR="00430382">
        <w:t>, claim costs and operating expenses</w:t>
      </w:r>
      <w:r w:rsidR="00901A70">
        <w:t>,</w:t>
      </w:r>
      <w:r w:rsidR="00885AD2">
        <w:t xml:space="preserve"> while the rest build</w:t>
      </w:r>
      <w:r w:rsidR="00901A70">
        <w:t>s</w:t>
      </w:r>
      <w:r w:rsidR="00885AD2">
        <w:t xml:space="preserve"> the NHF. </w:t>
      </w:r>
    </w:p>
    <w:p w14:paraId="12FE1CF8" w14:textId="2C141CBA" w:rsidR="00CF70E0" w:rsidRDefault="00885AD2" w:rsidP="00CF70E0">
      <w:pPr>
        <w:spacing w:after="120"/>
      </w:pPr>
      <w:r>
        <w:t>The Crown guarantee</w:t>
      </w:r>
      <w:r w:rsidR="00DF18B7">
        <w:t xml:space="preserve"> will ensure </w:t>
      </w:r>
      <w:r w:rsidR="002A6BE9">
        <w:t>we have the</w:t>
      </w:r>
      <w:r w:rsidR="00DF18B7">
        <w:t xml:space="preserve"> funds t</w:t>
      </w:r>
      <w:r w:rsidR="005E370A">
        <w:t xml:space="preserve">o </w:t>
      </w:r>
      <w:r w:rsidR="00D91251">
        <w:t>pay</w:t>
      </w:r>
      <w:r w:rsidR="008D36A0">
        <w:t xml:space="preserve"> claims</w:t>
      </w:r>
      <w:r w:rsidR="0083152B">
        <w:t xml:space="preserve"> (</w:t>
      </w:r>
      <w:r w:rsidR="006373FA">
        <w:t xml:space="preserve">beyond the capacity of the Risk </w:t>
      </w:r>
      <w:r w:rsidR="000622E9">
        <w:t>Transfer</w:t>
      </w:r>
      <w:r w:rsidR="006373FA">
        <w:t xml:space="preserve"> </w:t>
      </w:r>
      <w:r w:rsidR="000622E9">
        <w:t>Program</w:t>
      </w:r>
      <w:r w:rsidR="00966E8B">
        <w:t>me</w:t>
      </w:r>
      <w:r w:rsidR="006373FA">
        <w:t xml:space="preserve"> and </w:t>
      </w:r>
      <w:r w:rsidR="000622E9">
        <w:t>the NHF</w:t>
      </w:r>
      <w:r w:rsidR="0083152B">
        <w:t>)</w:t>
      </w:r>
      <w:r>
        <w:t xml:space="preserve">. </w:t>
      </w:r>
    </w:p>
    <w:p w14:paraId="79168253" w14:textId="0D6FBEF9" w:rsidR="00A058C5" w:rsidRDefault="00A058C5" w:rsidP="00CF70E0">
      <w:pPr>
        <w:spacing w:after="120"/>
      </w:pPr>
      <w:r w:rsidRPr="0007748D">
        <w:t xml:space="preserve">Figure </w:t>
      </w:r>
      <w:r w:rsidR="00EB4124">
        <w:t>6</w:t>
      </w:r>
      <w:r w:rsidR="00EB4124" w:rsidRPr="001927BC">
        <w:t xml:space="preserve"> </w:t>
      </w:r>
      <w:r w:rsidRPr="001927BC">
        <w:t xml:space="preserve">illustrates the connections between the four levers of </w:t>
      </w:r>
      <w:r w:rsidR="00141C67">
        <w:t>our</w:t>
      </w:r>
      <w:r w:rsidRPr="001927BC">
        <w:t xml:space="preserve"> risk financing strategy.</w:t>
      </w:r>
    </w:p>
    <w:p w14:paraId="659A75AD" w14:textId="08F356A3" w:rsidR="0053618E" w:rsidRPr="00397EB5" w:rsidRDefault="0053618E" w:rsidP="0053618E">
      <w:pPr>
        <w:pStyle w:val="Caption"/>
        <w:keepNext/>
        <w:rPr>
          <w:i w:val="0"/>
          <w:sz w:val="20"/>
          <w:szCs w:val="20"/>
        </w:rPr>
      </w:pPr>
      <w:r w:rsidRPr="00397EB5">
        <w:rPr>
          <w:i w:val="0"/>
          <w:sz w:val="20"/>
          <w:szCs w:val="20"/>
        </w:rPr>
        <w:lastRenderedPageBreak/>
        <w:t xml:space="preserve">Figure </w:t>
      </w:r>
      <w:r w:rsidR="005F7B58" w:rsidRPr="00397EB5">
        <w:rPr>
          <w:i w:val="0"/>
          <w:sz w:val="20"/>
          <w:szCs w:val="20"/>
        </w:rPr>
        <w:t>6</w:t>
      </w:r>
      <w:r w:rsidR="002E7B52" w:rsidRPr="00397EB5">
        <w:rPr>
          <w:i w:val="0"/>
          <w:sz w:val="20"/>
          <w:szCs w:val="20"/>
        </w:rPr>
        <w:t>:</w:t>
      </w:r>
      <w:r w:rsidRPr="00397EB5">
        <w:rPr>
          <w:i w:val="0"/>
          <w:sz w:val="20"/>
          <w:szCs w:val="20"/>
        </w:rPr>
        <w:t xml:space="preserve"> The connections between the four levers of </w:t>
      </w:r>
      <w:r w:rsidR="002153FF">
        <w:rPr>
          <w:i w:val="0"/>
          <w:sz w:val="20"/>
          <w:szCs w:val="20"/>
        </w:rPr>
        <w:t xml:space="preserve">our </w:t>
      </w:r>
      <w:r w:rsidRPr="00397EB5">
        <w:rPr>
          <w:i w:val="0"/>
          <w:sz w:val="20"/>
          <w:szCs w:val="20"/>
        </w:rPr>
        <w:t>risk financing strategy</w:t>
      </w:r>
    </w:p>
    <w:p w14:paraId="3F5563B1" w14:textId="52FAB214" w:rsidR="00CE7D71" w:rsidRDefault="00885AD2" w:rsidP="00B851F7">
      <w:pPr>
        <w:keepNext/>
      </w:pPr>
      <w:r>
        <w:rPr>
          <w:noProof/>
        </w:rPr>
        <w:drawing>
          <wp:inline distT="0" distB="0" distL="0" distR="0" wp14:anchorId="00E9E0CE" wp14:editId="17FEC2ED">
            <wp:extent cx="5631123" cy="4339988"/>
            <wp:effectExtent l="19050" t="0" r="65405" b="22860"/>
            <wp:docPr id="1788708597"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45B2E82C" w14:textId="4B28A347" w:rsidR="00B6137A" w:rsidRDefault="00B6137A">
      <w:pPr>
        <w:spacing w:before="0" w:line="259" w:lineRule="auto"/>
        <w:rPr>
          <w:rFonts w:eastAsiaTheme="majorEastAsia" w:cstheme="majorBidi"/>
          <w:b/>
          <w:color w:val="052A4D" w:themeColor="accent1"/>
          <w:sz w:val="30"/>
          <w:szCs w:val="32"/>
        </w:rPr>
      </w:pPr>
    </w:p>
    <w:p w14:paraId="05DEEE7B" w14:textId="3B3B07B6" w:rsidR="008C36C8" w:rsidRDefault="00960902" w:rsidP="00254899">
      <w:pPr>
        <w:pStyle w:val="Heading1"/>
      </w:pPr>
      <w:bookmarkStart w:id="97" w:name="_Toc199337455"/>
      <w:bookmarkStart w:id="98" w:name="_Toc1389348933"/>
      <w:bookmarkStart w:id="99" w:name="_Toc231890658"/>
      <w:r>
        <w:t xml:space="preserve">Risk </w:t>
      </w:r>
      <w:r w:rsidR="004B73A5">
        <w:t>f</w:t>
      </w:r>
      <w:r>
        <w:t xml:space="preserve">inancing </w:t>
      </w:r>
      <w:r w:rsidR="004B73A5">
        <w:t>o</w:t>
      </w:r>
      <w:r>
        <w:t>bjectives</w:t>
      </w:r>
      <w:bookmarkEnd w:id="97"/>
      <w:bookmarkEnd w:id="98"/>
      <w:r w:rsidR="000105F7">
        <w:t xml:space="preserve"> and outcomes</w:t>
      </w:r>
      <w:bookmarkEnd w:id="99"/>
      <w:r w:rsidR="000105F7">
        <w:t xml:space="preserve"> </w:t>
      </w:r>
    </w:p>
    <w:p w14:paraId="29B55B31" w14:textId="77777777" w:rsidR="00EE58E1" w:rsidRDefault="00745403" w:rsidP="00AD1851">
      <w:pPr>
        <w:spacing w:after="120"/>
      </w:pPr>
      <w:r w:rsidRPr="00BA4BEF">
        <w:t xml:space="preserve">Our goal is to ensure </w:t>
      </w:r>
      <w:r w:rsidR="00B851F7">
        <w:t>we have</w:t>
      </w:r>
      <w:r w:rsidR="00EE58E1">
        <w:t>:</w:t>
      </w:r>
    </w:p>
    <w:p w14:paraId="0EBA335B" w14:textId="0C494004" w:rsidR="00EE58E1" w:rsidRDefault="00745403" w:rsidP="001B492B">
      <w:pPr>
        <w:pStyle w:val="ListParagraph"/>
        <w:numPr>
          <w:ilvl w:val="0"/>
          <w:numId w:val="9"/>
        </w:numPr>
        <w:ind w:left="714" w:hanging="357"/>
        <w:contextualSpacing w:val="0"/>
      </w:pPr>
      <w:r w:rsidRPr="00BA4BEF">
        <w:t>a robust risk financing framework in</w:t>
      </w:r>
      <w:r>
        <w:t xml:space="preserve"> </w:t>
      </w:r>
      <w:r w:rsidRPr="00BA4BEF">
        <w:t>place that builds the financial resilience</w:t>
      </w:r>
      <w:r>
        <w:t xml:space="preserve"> </w:t>
      </w:r>
      <w:r w:rsidRPr="00BA4BEF">
        <w:t xml:space="preserve">of the </w:t>
      </w:r>
      <w:r w:rsidR="00BC0F3E">
        <w:t xml:space="preserve">NHI </w:t>
      </w:r>
      <w:r w:rsidR="00E668F9">
        <w:t>s</w:t>
      </w:r>
      <w:r w:rsidR="0091339D">
        <w:t>cheme</w:t>
      </w:r>
      <w:r w:rsidRPr="00BA4BEF">
        <w:t xml:space="preserve"> through</w:t>
      </w:r>
      <w:r>
        <w:t xml:space="preserve"> </w:t>
      </w:r>
      <w:r w:rsidRPr="00BA4BEF">
        <w:t xml:space="preserve">growing the </w:t>
      </w:r>
      <w:r>
        <w:t>NHF</w:t>
      </w:r>
      <w:r w:rsidRPr="00BA4BEF">
        <w:t xml:space="preserve">, and </w:t>
      </w:r>
    </w:p>
    <w:p w14:paraId="08E4B23D" w14:textId="411CF9DC" w:rsidR="0082354A" w:rsidRDefault="00745403" w:rsidP="001B492B">
      <w:pPr>
        <w:pStyle w:val="ListParagraph"/>
        <w:numPr>
          <w:ilvl w:val="0"/>
          <w:numId w:val="9"/>
        </w:numPr>
        <w:ind w:left="714" w:hanging="357"/>
        <w:contextualSpacing w:val="0"/>
      </w:pPr>
      <w:r w:rsidRPr="00BA4BEF">
        <w:t>the</w:t>
      </w:r>
      <w:r>
        <w:t xml:space="preserve"> </w:t>
      </w:r>
      <w:r w:rsidRPr="00BA4BEF">
        <w:t xml:space="preserve">efficient transfer of </w:t>
      </w:r>
      <w:r w:rsidR="00821F3A">
        <w:t xml:space="preserve">financial </w:t>
      </w:r>
      <w:r w:rsidRPr="00BA4BEF">
        <w:t>risk to global capital</w:t>
      </w:r>
      <w:r>
        <w:t xml:space="preserve"> </w:t>
      </w:r>
      <w:r w:rsidRPr="00BA4BEF">
        <w:t xml:space="preserve">markets </w:t>
      </w:r>
      <w:r w:rsidR="008C2A63">
        <w:t>through</w:t>
      </w:r>
      <w:r w:rsidR="008C2A63" w:rsidRPr="00BA4BEF">
        <w:t xml:space="preserve"> </w:t>
      </w:r>
      <w:r w:rsidR="00821F3A">
        <w:t xml:space="preserve">traditional </w:t>
      </w:r>
      <w:r w:rsidRPr="00BA4BEF">
        <w:t>reinsurance and other risk</w:t>
      </w:r>
      <w:r>
        <w:t xml:space="preserve"> </w:t>
      </w:r>
      <w:r w:rsidRPr="00BA4BEF">
        <w:t>management products</w:t>
      </w:r>
      <w:r>
        <w:t xml:space="preserve">. </w:t>
      </w:r>
    </w:p>
    <w:p w14:paraId="0F1D5E34" w14:textId="0ABF17A3" w:rsidR="00FE1645" w:rsidRDefault="00C71B0D" w:rsidP="00FE1645">
      <w:pPr>
        <w:spacing w:after="120"/>
      </w:pPr>
      <w:r>
        <w:t>We are</w:t>
      </w:r>
      <w:r w:rsidR="009A3841">
        <w:t xml:space="preserve"> looking to build the financial position of the </w:t>
      </w:r>
      <w:r w:rsidR="00BC0F3E">
        <w:t xml:space="preserve">NHI </w:t>
      </w:r>
      <w:r w:rsidR="009A3841">
        <w:t xml:space="preserve">scheme </w:t>
      </w:r>
      <w:r w:rsidR="00C571E5">
        <w:t>to</w:t>
      </w:r>
      <w:r w:rsidR="009A3841" w:rsidRPr="00002110">
        <w:t xml:space="preserve"> </w:t>
      </w:r>
      <w:r w:rsidR="008D76E6">
        <w:t>settle</w:t>
      </w:r>
      <w:r w:rsidR="009A3841" w:rsidRPr="00002110">
        <w:t xml:space="preserve"> claims without </w:t>
      </w:r>
      <w:r w:rsidR="00BC3894">
        <w:t xml:space="preserve">increasing the risk of </w:t>
      </w:r>
      <w:r w:rsidR="009A3841" w:rsidRPr="00002110">
        <w:t xml:space="preserve">drawing on the Crown </w:t>
      </w:r>
      <w:r>
        <w:t>g</w:t>
      </w:r>
      <w:r w:rsidR="009A3841" w:rsidRPr="00002110">
        <w:t>uarantee</w:t>
      </w:r>
      <w:r w:rsidR="009C2F2F">
        <w:t xml:space="preserve"> beyond what is set out in the FRMS</w:t>
      </w:r>
      <w:r w:rsidR="00184D1A">
        <w:t>.</w:t>
      </w:r>
      <w:r w:rsidR="009A3841">
        <w:t xml:space="preserve"> </w:t>
      </w:r>
      <w:bookmarkStart w:id="100" w:name="_Toc199338289"/>
      <w:bookmarkStart w:id="101" w:name="_Toc199422611"/>
      <w:bookmarkStart w:id="102" w:name="_Toc199876538"/>
      <w:bookmarkStart w:id="103" w:name="_Toc199919236"/>
      <w:bookmarkStart w:id="104" w:name="_Toc199941824"/>
    </w:p>
    <w:p w14:paraId="66F23742" w14:textId="1DA99DF4" w:rsidR="00C963C0" w:rsidRPr="00FE1645" w:rsidRDefault="00C963C0" w:rsidP="00FE1645">
      <w:pPr>
        <w:spacing w:after="120"/>
      </w:pPr>
      <w:r w:rsidRPr="7C2910F1">
        <w:rPr>
          <w:rFonts w:eastAsiaTheme="minorEastAsia"/>
          <w:color w:val="000000" w:themeColor="text2"/>
        </w:rPr>
        <w:t xml:space="preserve">Table </w:t>
      </w:r>
      <w:r w:rsidR="0075344D" w:rsidRPr="7C2910F1">
        <w:rPr>
          <w:rFonts w:eastAsiaTheme="minorEastAsia"/>
          <w:color w:val="000000" w:themeColor="text2"/>
        </w:rPr>
        <w:t>1</w:t>
      </w:r>
      <w:r w:rsidRPr="7C2910F1">
        <w:rPr>
          <w:rFonts w:eastAsiaTheme="minorEastAsia"/>
          <w:color w:val="000000" w:themeColor="text2"/>
        </w:rPr>
        <w:t xml:space="preserve"> outlines our risk financing strategic objectives </w:t>
      </w:r>
      <w:r w:rsidR="00EF2A22">
        <w:rPr>
          <w:rFonts w:eastAsiaTheme="minorEastAsia"/>
          <w:color w:val="000000" w:themeColor="text2"/>
        </w:rPr>
        <w:t xml:space="preserve">and </w:t>
      </w:r>
      <w:r w:rsidR="00925158">
        <w:rPr>
          <w:rFonts w:eastAsiaTheme="minorEastAsia"/>
          <w:color w:val="000000" w:themeColor="text2"/>
        </w:rPr>
        <w:t xml:space="preserve">expected </w:t>
      </w:r>
      <w:r w:rsidR="00EF2A22">
        <w:rPr>
          <w:rFonts w:eastAsiaTheme="minorEastAsia"/>
          <w:color w:val="000000" w:themeColor="text2"/>
        </w:rPr>
        <w:t>outcomes</w:t>
      </w:r>
      <w:r w:rsidRPr="7C2910F1">
        <w:rPr>
          <w:rFonts w:eastAsiaTheme="minorEastAsia"/>
          <w:color w:val="000000" w:themeColor="text2"/>
        </w:rPr>
        <w:t>.</w:t>
      </w:r>
      <w:bookmarkEnd w:id="100"/>
      <w:bookmarkEnd w:id="101"/>
      <w:bookmarkEnd w:id="102"/>
      <w:bookmarkEnd w:id="103"/>
      <w:bookmarkEnd w:id="104"/>
      <w:r w:rsidRPr="7C2910F1">
        <w:rPr>
          <w:rFonts w:eastAsiaTheme="minorEastAsia"/>
          <w:color w:val="000000" w:themeColor="text2"/>
        </w:rPr>
        <w:t xml:space="preserve"> </w:t>
      </w:r>
    </w:p>
    <w:p w14:paraId="11B37782" w14:textId="77777777" w:rsidR="00891A18" w:rsidRDefault="00891A18">
      <w:pPr>
        <w:spacing w:before="0" w:line="259" w:lineRule="auto"/>
        <w:rPr>
          <w:sz w:val="20"/>
          <w:szCs w:val="20"/>
        </w:rPr>
      </w:pPr>
      <w:r>
        <w:rPr>
          <w:sz w:val="20"/>
          <w:szCs w:val="20"/>
        </w:rPr>
        <w:br w:type="page"/>
      </w:r>
    </w:p>
    <w:p w14:paraId="753EC57A" w14:textId="1C4B5974" w:rsidR="002F1879" w:rsidRDefault="00C963C0" w:rsidP="00C963C0">
      <w:pPr>
        <w:rPr>
          <w:sz w:val="20"/>
          <w:szCs w:val="20"/>
        </w:rPr>
      </w:pPr>
      <w:r w:rsidRPr="008E07B3">
        <w:rPr>
          <w:sz w:val="20"/>
          <w:szCs w:val="20"/>
        </w:rPr>
        <w:lastRenderedPageBreak/>
        <w:t xml:space="preserve">Table </w:t>
      </w:r>
      <w:r w:rsidR="0075344D">
        <w:rPr>
          <w:sz w:val="20"/>
          <w:szCs w:val="20"/>
        </w:rPr>
        <w:t>1</w:t>
      </w:r>
      <w:r w:rsidRPr="00817C96">
        <w:rPr>
          <w:sz w:val="20"/>
          <w:szCs w:val="20"/>
        </w:rPr>
        <w:t xml:space="preserve">: </w:t>
      </w:r>
      <w:r w:rsidR="0048164E">
        <w:rPr>
          <w:sz w:val="20"/>
          <w:szCs w:val="20"/>
        </w:rPr>
        <w:t>outline of our</w:t>
      </w:r>
      <w:r w:rsidRPr="008E07B3">
        <w:rPr>
          <w:sz w:val="20"/>
          <w:szCs w:val="20"/>
        </w:rPr>
        <w:t xml:space="preserve"> risk financing strategic objectives</w:t>
      </w:r>
      <w:r w:rsidR="00F805F0">
        <w:rPr>
          <w:sz w:val="20"/>
          <w:szCs w:val="20"/>
        </w:rPr>
        <w:t xml:space="preserve"> and outcomes</w:t>
      </w:r>
    </w:p>
    <w:tbl>
      <w:tblPr>
        <w:tblStyle w:val="TableGrid"/>
        <w:tblW w:w="5000" w:type="pct"/>
        <w:tblLook w:val="04A0" w:firstRow="1" w:lastRow="0" w:firstColumn="1" w:lastColumn="0" w:noHBand="0" w:noVBand="1"/>
      </w:tblPr>
      <w:tblGrid>
        <w:gridCol w:w="1507"/>
        <w:gridCol w:w="3586"/>
        <w:gridCol w:w="3927"/>
      </w:tblGrid>
      <w:tr w:rsidR="004900BF" w:rsidRPr="00BE785F" w14:paraId="355CAA3F" w14:textId="77777777" w:rsidTr="000D14DA">
        <w:tc>
          <w:tcPr>
            <w:tcW w:w="0" w:type="auto"/>
            <w:shd w:val="clear" w:color="auto" w:fill="052A4D" w:themeFill="accent1"/>
            <w:hideMark/>
          </w:tcPr>
          <w:p w14:paraId="56F1369D" w14:textId="77777777" w:rsidR="00D40FC2" w:rsidRPr="00BE785F" w:rsidRDefault="00D40FC2" w:rsidP="00BE785F">
            <w:pPr>
              <w:spacing w:before="80" w:after="80"/>
              <w:rPr>
                <w:b/>
                <w:bCs/>
                <w:color w:val="FFFFFF" w:themeColor="background2"/>
                <w:sz w:val="22"/>
              </w:rPr>
            </w:pPr>
            <w:r w:rsidRPr="00BE785F">
              <w:rPr>
                <w:b/>
                <w:bCs/>
                <w:color w:val="FFFFFF" w:themeColor="background2"/>
                <w:sz w:val="22"/>
              </w:rPr>
              <w:t>Area</w:t>
            </w:r>
          </w:p>
        </w:tc>
        <w:tc>
          <w:tcPr>
            <w:tcW w:w="0" w:type="auto"/>
            <w:shd w:val="clear" w:color="auto" w:fill="052A4D" w:themeFill="accent1"/>
            <w:hideMark/>
          </w:tcPr>
          <w:p w14:paraId="7EC8FDE6" w14:textId="77777777" w:rsidR="00D40FC2" w:rsidRPr="00BE785F" w:rsidRDefault="00D40FC2" w:rsidP="00BE785F">
            <w:pPr>
              <w:spacing w:before="80" w:after="80"/>
              <w:rPr>
                <w:b/>
                <w:bCs/>
                <w:color w:val="FFFFFF" w:themeColor="background2"/>
                <w:sz w:val="22"/>
              </w:rPr>
            </w:pPr>
            <w:r w:rsidRPr="00BE785F">
              <w:rPr>
                <w:b/>
                <w:bCs/>
                <w:color w:val="FFFFFF" w:themeColor="background2"/>
                <w:sz w:val="22"/>
              </w:rPr>
              <w:t>Objective</w:t>
            </w:r>
          </w:p>
        </w:tc>
        <w:tc>
          <w:tcPr>
            <w:tcW w:w="0" w:type="auto"/>
            <w:shd w:val="clear" w:color="auto" w:fill="052A4D" w:themeFill="accent1"/>
            <w:hideMark/>
          </w:tcPr>
          <w:p w14:paraId="7FC14AB9" w14:textId="77777777" w:rsidR="00D40FC2" w:rsidRPr="00BE785F" w:rsidRDefault="00D40FC2" w:rsidP="00BE785F">
            <w:pPr>
              <w:spacing w:before="80" w:after="80"/>
              <w:rPr>
                <w:b/>
                <w:bCs/>
                <w:color w:val="FFFFFF" w:themeColor="background2"/>
                <w:sz w:val="22"/>
              </w:rPr>
            </w:pPr>
            <w:r w:rsidRPr="00BE785F">
              <w:rPr>
                <w:b/>
                <w:bCs/>
                <w:color w:val="FFFFFF" w:themeColor="background2"/>
                <w:sz w:val="22"/>
              </w:rPr>
              <w:t>Outcome</w:t>
            </w:r>
          </w:p>
        </w:tc>
      </w:tr>
      <w:tr w:rsidR="004900BF" w:rsidRPr="00D40FC2" w14:paraId="10C951B0" w14:textId="77777777" w:rsidTr="00D40FC2">
        <w:tc>
          <w:tcPr>
            <w:tcW w:w="0" w:type="auto"/>
            <w:hideMark/>
          </w:tcPr>
          <w:p w14:paraId="3EFC0349" w14:textId="77777777" w:rsidR="00D40FC2" w:rsidRPr="00A57715" w:rsidRDefault="00D40FC2" w:rsidP="00BE785F">
            <w:pPr>
              <w:spacing w:before="80" w:after="80"/>
              <w:rPr>
                <w:b/>
                <w:bCs/>
                <w:sz w:val="22"/>
              </w:rPr>
            </w:pPr>
            <w:r w:rsidRPr="00A57715">
              <w:rPr>
                <w:b/>
                <w:bCs/>
                <w:sz w:val="22"/>
              </w:rPr>
              <w:t>Capability</w:t>
            </w:r>
          </w:p>
        </w:tc>
        <w:tc>
          <w:tcPr>
            <w:tcW w:w="0" w:type="auto"/>
            <w:hideMark/>
          </w:tcPr>
          <w:p w14:paraId="6516DD89" w14:textId="4C49AD51" w:rsidR="00D40FC2" w:rsidRPr="00BE785F" w:rsidRDefault="00D40FC2" w:rsidP="00BE785F">
            <w:pPr>
              <w:spacing w:before="80" w:after="80"/>
              <w:rPr>
                <w:sz w:val="22"/>
              </w:rPr>
            </w:pPr>
            <w:r w:rsidRPr="00BE785F">
              <w:rPr>
                <w:sz w:val="22"/>
              </w:rPr>
              <w:t xml:space="preserve">Maintain and strengthen </w:t>
            </w:r>
            <w:r w:rsidR="004E1370">
              <w:rPr>
                <w:sz w:val="22"/>
              </w:rPr>
              <w:t>our</w:t>
            </w:r>
            <w:r w:rsidR="004E1370" w:rsidRPr="00BE785F">
              <w:rPr>
                <w:sz w:val="22"/>
              </w:rPr>
              <w:t xml:space="preserve"> </w:t>
            </w:r>
            <w:r w:rsidRPr="00BE785F">
              <w:rPr>
                <w:sz w:val="22"/>
              </w:rPr>
              <w:t>risk financing capability</w:t>
            </w:r>
          </w:p>
        </w:tc>
        <w:tc>
          <w:tcPr>
            <w:tcW w:w="0" w:type="auto"/>
            <w:hideMark/>
          </w:tcPr>
          <w:p w14:paraId="393DBEB1" w14:textId="570CE214" w:rsidR="00D40FC2" w:rsidRPr="00BE785F" w:rsidRDefault="00704E8E" w:rsidP="00BE785F">
            <w:pPr>
              <w:spacing w:before="80" w:after="80"/>
              <w:rPr>
                <w:sz w:val="22"/>
              </w:rPr>
            </w:pPr>
            <w:r>
              <w:rPr>
                <w:sz w:val="22"/>
              </w:rPr>
              <w:t>We have</w:t>
            </w:r>
            <w:r w:rsidR="00D40FC2" w:rsidRPr="00BE785F">
              <w:rPr>
                <w:sz w:val="22"/>
              </w:rPr>
              <w:t xml:space="preserve"> a skilled internal team and formal partnerships with key external providers.</w:t>
            </w:r>
          </w:p>
        </w:tc>
      </w:tr>
      <w:tr w:rsidR="004900BF" w:rsidRPr="00D40FC2" w14:paraId="01D3825B" w14:textId="77777777" w:rsidTr="00D40FC2">
        <w:tc>
          <w:tcPr>
            <w:tcW w:w="0" w:type="auto"/>
            <w:hideMark/>
          </w:tcPr>
          <w:p w14:paraId="164F880F" w14:textId="5951C6D5" w:rsidR="00D40FC2" w:rsidRPr="00A57715" w:rsidRDefault="00D40FC2" w:rsidP="00BE785F">
            <w:pPr>
              <w:spacing w:before="80" w:after="80"/>
              <w:rPr>
                <w:b/>
                <w:bCs/>
                <w:sz w:val="22"/>
              </w:rPr>
            </w:pPr>
            <w:r w:rsidRPr="00A57715">
              <w:rPr>
                <w:b/>
                <w:bCs/>
                <w:sz w:val="22"/>
              </w:rPr>
              <w:t xml:space="preserve">NHI </w:t>
            </w:r>
            <w:r w:rsidR="00056AE4" w:rsidRPr="00A57715">
              <w:rPr>
                <w:b/>
                <w:bCs/>
                <w:sz w:val="22"/>
              </w:rPr>
              <w:t>levy</w:t>
            </w:r>
          </w:p>
        </w:tc>
        <w:tc>
          <w:tcPr>
            <w:tcW w:w="0" w:type="auto"/>
            <w:hideMark/>
          </w:tcPr>
          <w:p w14:paraId="042366FE" w14:textId="418ACA6D" w:rsidR="00D40FC2" w:rsidRPr="00BE785F" w:rsidRDefault="00D40FC2" w:rsidP="00BE785F">
            <w:pPr>
              <w:spacing w:before="80" w:after="80"/>
              <w:rPr>
                <w:sz w:val="22"/>
              </w:rPr>
            </w:pPr>
            <w:r w:rsidRPr="00BE785F">
              <w:rPr>
                <w:sz w:val="22"/>
              </w:rPr>
              <w:t xml:space="preserve">Understand the cost of </w:t>
            </w:r>
            <w:r w:rsidR="00BC0F3E">
              <w:rPr>
                <w:sz w:val="22"/>
              </w:rPr>
              <w:t xml:space="preserve">NHI </w:t>
            </w:r>
            <w:r w:rsidRPr="00BE785F">
              <w:rPr>
                <w:sz w:val="22"/>
              </w:rPr>
              <w:t xml:space="preserve">scheme risks and </w:t>
            </w:r>
            <w:r w:rsidR="004B1894">
              <w:rPr>
                <w:sz w:val="22"/>
              </w:rPr>
              <w:t xml:space="preserve">ensure accurate collection </w:t>
            </w:r>
            <w:r w:rsidR="004900BF">
              <w:rPr>
                <w:sz w:val="22"/>
              </w:rPr>
              <w:t xml:space="preserve">of </w:t>
            </w:r>
            <w:r w:rsidR="00025374">
              <w:rPr>
                <w:sz w:val="22"/>
              </w:rPr>
              <w:t xml:space="preserve">NHI </w:t>
            </w:r>
            <w:r w:rsidR="004900BF">
              <w:rPr>
                <w:sz w:val="22"/>
              </w:rPr>
              <w:t>levies due</w:t>
            </w:r>
          </w:p>
        </w:tc>
        <w:tc>
          <w:tcPr>
            <w:tcW w:w="0" w:type="auto"/>
            <w:hideMark/>
          </w:tcPr>
          <w:p w14:paraId="5D32D2F2" w14:textId="77D7511D" w:rsidR="00D40FC2" w:rsidRPr="00BE785F" w:rsidRDefault="00704E8E" w:rsidP="00BE785F">
            <w:pPr>
              <w:spacing w:before="80" w:after="80"/>
              <w:rPr>
                <w:sz w:val="22"/>
              </w:rPr>
            </w:pPr>
            <w:r>
              <w:rPr>
                <w:sz w:val="22"/>
              </w:rPr>
              <w:t>We</w:t>
            </w:r>
            <w:r w:rsidRPr="00BE785F">
              <w:rPr>
                <w:sz w:val="22"/>
              </w:rPr>
              <w:t xml:space="preserve"> </w:t>
            </w:r>
            <w:r w:rsidR="00D40FC2" w:rsidRPr="00BE785F">
              <w:rPr>
                <w:sz w:val="22"/>
              </w:rPr>
              <w:t xml:space="preserve">provide clear, evidence-based advice to the Board, </w:t>
            </w:r>
            <w:r w:rsidR="000A6D9F">
              <w:rPr>
                <w:sz w:val="22"/>
              </w:rPr>
              <w:t xml:space="preserve">the </w:t>
            </w:r>
            <w:r w:rsidR="00D40FC2" w:rsidRPr="00BE785F">
              <w:rPr>
                <w:sz w:val="22"/>
              </w:rPr>
              <w:t xml:space="preserve">Treasury, and Ministers on </w:t>
            </w:r>
            <w:r w:rsidR="006053FD">
              <w:rPr>
                <w:sz w:val="22"/>
              </w:rPr>
              <w:t xml:space="preserve">NHI </w:t>
            </w:r>
            <w:r w:rsidR="00D40FC2" w:rsidRPr="00BE785F">
              <w:rPr>
                <w:sz w:val="22"/>
              </w:rPr>
              <w:t>levy options.</w:t>
            </w:r>
          </w:p>
        </w:tc>
      </w:tr>
      <w:tr w:rsidR="004900BF" w:rsidRPr="00D40FC2" w14:paraId="51C7CAB4" w14:textId="77777777" w:rsidTr="00D40FC2">
        <w:tc>
          <w:tcPr>
            <w:tcW w:w="0" w:type="auto"/>
            <w:hideMark/>
          </w:tcPr>
          <w:p w14:paraId="2A3C9AE0" w14:textId="08179848" w:rsidR="00D40FC2" w:rsidRPr="00A57715" w:rsidRDefault="00D40FC2" w:rsidP="00BE785F">
            <w:pPr>
              <w:spacing w:before="80" w:after="80"/>
              <w:rPr>
                <w:b/>
                <w:bCs/>
                <w:sz w:val="22"/>
              </w:rPr>
            </w:pPr>
            <w:r w:rsidRPr="00A57715">
              <w:rPr>
                <w:b/>
                <w:bCs/>
                <w:sz w:val="22"/>
              </w:rPr>
              <w:t xml:space="preserve">Risk </w:t>
            </w:r>
            <w:r w:rsidR="009D62A8" w:rsidRPr="00A57715">
              <w:rPr>
                <w:b/>
                <w:bCs/>
                <w:sz w:val="22"/>
              </w:rPr>
              <w:t>transfer</w:t>
            </w:r>
          </w:p>
        </w:tc>
        <w:tc>
          <w:tcPr>
            <w:tcW w:w="0" w:type="auto"/>
            <w:hideMark/>
          </w:tcPr>
          <w:p w14:paraId="720E5798" w14:textId="23536DD6" w:rsidR="00D40FC2" w:rsidRPr="00BE785F" w:rsidRDefault="00D40FC2" w:rsidP="00BE785F">
            <w:pPr>
              <w:spacing w:before="80" w:after="80"/>
              <w:rPr>
                <w:sz w:val="22"/>
              </w:rPr>
            </w:pPr>
            <w:r w:rsidRPr="00BE785F">
              <w:rPr>
                <w:sz w:val="22"/>
              </w:rPr>
              <w:t xml:space="preserve">Deliver a </w:t>
            </w:r>
            <w:r w:rsidR="00821F3A">
              <w:rPr>
                <w:sz w:val="22"/>
              </w:rPr>
              <w:t>risk transfer</w:t>
            </w:r>
            <w:r w:rsidR="00821F3A" w:rsidRPr="00BE785F">
              <w:rPr>
                <w:sz w:val="22"/>
              </w:rPr>
              <w:t xml:space="preserve"> </w:t>
            </w:r>
            <w:r w:rsidRPr="00BE785F">
              <w:rPr>
                <w:sz w:val="22"/>
              </w:rPr>
              <w:t>programme that is cost-effective and efficient</w:t>
            </w:r>
          </w:p>
        </w:tc>
        <w:tc>
          <w:tcPr>
            <w:tcW w:w="0" w:type="auto"/>
            <w:hideMark/>
          </w:tcPr>
          <w:p w14:paraId="2B43595B" w14:textId="0C39A9F2" w:rsidR="00D40FC2" w:rsidRPr="00BE785F" w:rsidRDefault="00D40FC2" w:rsidP="00BE785F">
            <w:pPr>
              <w:spacing w:before="80" w:after="80"/>
              <w:rPr>
                <w:sz w:val="22"/>
              </w:rPr>
            </w:pPr>
            <w:r w:rsidRPr="00BE785F">
              <w:rPr>
                <w:sz w:val="22"/>
              </w:rPr>
              <w:t>Risk transfer arrangements align with Board-approved appetite and demonstrate value for money.</w:t>
            </w:r>
          </w:p>
        </w:tc>
      </w:tr>
      <w:tr w:rsidR="004900BF" w:rsidRPr="00D40FC2" w14:paraId="0D5C51EC" w14:textId="77777777" w:rsidTr="00D40FC2">
        <w:tc>
          <w:tcPr>
            <w:tcW w:w="0" w:type="auto"/>
            <w:hideMark/>
          </w:tcPr>
          <w:p w14:paraId="78B842A4" w14:textId="77777777" w:rsidR="00D40FC2" w:rsidRPr="00A57715" w:rsidRDefault="00D40FC2" w:rsidP="00BE785F">
            <w:pPr>
              <w:spacing w:before="80" w:after="80"/>
              <w:rPr>
                <w:b/>
                <w:bCs/>
                <w:sz w:val="22"/>
              </w:rPr>
            </w:pPr>
            <w:r w:rsidRPr="00A57715">
              <w:rPr>
                <w:b/>
                <w:bCs/>
                <w:sz w:val="22"/>
              </w:rPr>
              <w:t>Investment</w:t>
            </w:r>
          </w:p>
        </w:tc>
        <w:tc>
          <w:tcPr>
            <w:tcW w:w="0" w:type="auto"/>
            <w:hideMark/>
          </w:tcPr>
          <w:p w14:paraId="4FE172F5" w14:textId="6D4DA18A" w:rsidR="00D40FC2" w:rsidRPr="00BE785F" w:rsidRDefault="00D40FC2" w:rsidP="00BE785F">
            <w:pPr>
              <w:spacing w:before="80" w:after="80"/>
              <w:rPr>
                <w:sz w:val="22"/>
              </w:rPr>
            </w:pPr>
            <w:r w:rsidRPr="00BE785F">
              <w:rPr>
                <w:sz w:val="22"/>
              </w:rPr>
              <w:t xml:space="preserve">Grow the </w:t>
            </w:r>
            <w:r w:rsidR="00697EF8">
              <w:rPr>
                <w:sz w:val="22"/>
              </w:rPr>
              <w:t>NHF</w:t>
            </w:r>
            <w:r w:rsidRPr="00BE785F">
              <w:rPr>
                <w:sz w:val="22"/>
              </w:rPr>
              <w:t xml:space="preserve"> through prudent investment</w:t>
            </w:r>
          </w:p>
        </w:tc>
        <w:tc>
          <w:tcPr>
            <w:tcW w:w="0" w:type="auto"/>
            <w:hideMark/>
          </w:tcPr>
          <w:p w14:paraId="1703F1B4" w14:textId="77777777" w:rsidR="00D40FC2" w:rsidRPr="00BE785F" w:rsidRDefault="00D40FC2" w:rsidP="00BE785F">
            <w:pPr>
              <w:spacing w:before="80" w:after="80"/>
              <w:rPr>
                <w:sz w:val="22"/>
              </w:rPr>
            </w:pPr>
            <w:r w:rsidRPr="00BE785F">
              <w:rPr>
                <w:sz w:val="22"/>
              </w:rPr>
              <w:t>NHF investment targets in the Statement of Investment Policy and Objectives are met and compliant.</w:t>
            </w:r>
          </w:p>
        </w:tc>
      </w:tr>
      <w:tr w:rsidR="004900BF" w:rsidRPr="00D40FC2" w14:paraId="6E55EC63" w14:textId="77777777" w:rsidTr="00D40FC2">
        <w:tc>
          <w:tcPr>
            <w:tcW w:w="0" w:type="auto"/>
            <w:hideMark/>
          </w:tcPr>
          <w:p w14:paraId="29BF81CF" w14:textId="77777777" w:rsidR="00D40FC2" w:rsidRPr="00A57715" w:rsidRDefault="00D40FC2" w:rsidP="00BE785F">
            <w:pPr>
              <w:spacing w:before="80" w:after="80"/>
              <w:rPr>
                <w:b/>
                <w:bCs/>
                <w:sz w:val="22"/>
              </w:rPr>
            </w:pPr>
            <w:r w:rsidRPr="00A57715">
              <w:rPr>
                <w:b/>
                <w:bCs/>
                <w:sz w:val="22"/>
              </w:rPr>
              <w:t>Crown Guarantee</w:t>
            </w:r>
          </w:p>
        </w:tc>
        <w:tc>
          <w:tcPr>
            <w:tcW w:w="0" w:type="auto"/>
            <w:hideMark/>
          </w:tcPr>
          <w:p w14:paraId="32E3A915" w14:textId="563B0AE4" w:rsidR="00D40FC2" w:rsidRPr="00BE785F" w:rsidRDefault="00D40FC2" w:rsidP="00BE785F">
            <w:pPr>
              <w:spacing w:before="80" w:after="80"/>
              <w:rPr>
                <w:sz w:val="22"/>
              </w:rPr>
            </w:pPr>
            <w:r w:rsidRPr="00BE785F">
              <w:rPr>
                <w:sz w:val="22"/>
              </w:rPr>
              <w:t>Ensure readiness to operationalise the Crown Guarantee if required</w:t>
            </w:r>
          </w:p>
        </w:tc>
        <w:tc>
          <w:tcPr>
            <w:tcW w:w="0" w:type="auto"/>
            <w:hideMark/>
          </w:tcPr>
          <w:p w14:paraId="62DA5E06" w14:textId="396773D7" w:rsidR="00D40FC2" w:rsidRPr="00BE785F" w:rsidRDefault="009659D2" w:rsidP="00BE785F">
            <w:pPr>
              <w:spacing w:before="80" w:after="80"/>
              <w:rPr>
                <w:sz w:val="22"/>
              </w:rPr>
            </w:pPr>
            <w:r>
              <w:rPr>
                <w:sz w:val="22"/>
              </w:rPr>
              <w:t>We</w:t>
            </w:r>
            <w:r w:rsidRPr="00BE785F">
              <w:rPr>
                <w:sz w:val="22"/>
              </w:rPr>
              <w:t xml:space="preserve"> </w:t>
            </w:r>
            <w:r w:rsidR="00D40FC2" w:rsidRPr="00BE785F">
              <w:rPr>
                <w:sz w:val="22"/>
              </w:rPr>
              <w:t xml:space="preserve">and </w:t>
            </w:r>
            <w:r w:rsidR="00F56BDA">
              <w:rPr>
                <w:sz w:val="22"/>
              </w:rPr>
              <w:t xml:space="preserve">the </w:t>
            </w:r>
            <w:r w:rsidR="00D40FC2" w:rsidRPr="00BE785F">
              <w:rPr>
                <w:sz w:val="22"/>
              </w:rPr>
              <w:t>Treasury have documented processes and tested protocols for activating the guarantee.</w:t>
            </w:r>
          </w:p>
        </w:tc>
      </w:tr>
    </w:tbl>
    <w:p w14:paraId="51BE9B24" w14:textId="7EA9FCF6" w:rsidR="00D71F91" w:rsidRPr="00074A2F" w:rsidRDefault="00A7111A" w:rsidP="00D71F91">
      <w:pPr>
        <w:pStyle w:val="Heading1"/>
      </w:pPr>
      <w:bookmarkStart w:id="105" w:name="_Toc70577008"/>
      <w:bookmarkStart w:id="106" w:name="_Toc231890659"/>
      <w:bookmarkStart w:id="107" w:name="_Toc199337459"/>
      <w:r>
        <w:t xml:space="preserve">Sequencing of delivery </w:t>
      </w:r>
      <w:r w:rsidR="00D71F91" w:rsidRPr="00074A2F">
        <w:t xml:space="preserve">over </w:t>
      </w:r>
      <w:r w:rsidR="00232151">
        <w:t xml:space="preserve">five years </w:t>
      </w:r>
      <w:r w:rsidR="004719F5">
        <w:t xml:space="preserve">covering </w:t>
      </w:r>
      <w:r w:rsidR="00232151">
        <w:t>2025-2030</w:t>
      </w:r>
      <w:bookmarkEnd w:id="105"/>
      <w:bookmarkEnd w:id="106"/>
    </w:p>
    <w:p w14:paraId="33F2ACD6" w14:textId="01D9790B" w:rsidR="00D71F91" w:rsidRDefault="00252770" w:rsidP="00AD1851">
      <w:pPr>
        <w:spacing w:after="120"/>
      </w:pPr>
      <w:r>
        <w:t xml:space="preserve">Figure </w:t>
      </w:r>
      <w:r w:rsidR="00BC1F2B">
        <w:t>7</w:t>
      </w:r>
      <w:r>
        <w:t xml:space="preserve"> provides</w:t>
      </w:r>
      <w:r w:rsidR="00D71F91">
        <w:t xml:space="preserve"> a high-level view of the </w:t>
      </w:r>
      <w:r>
        <w:t>main</w:t>
      </w:r>
      <w:r w:rsidR="00D71F91">
        <w:t xml:space="preserve"> activities </w:t>
      </w:r>
      <w:r w:rsidR="00BB611B">
        <w:t>during 2025-2030</w:t>
      </w:r>
      <w:r w:rsidR="00DD4DB1">
        <w:t xml:space="preserve">, noting </w:t>
      </w:r>
      <w:r w:rsidR="00385D55">
        <w:t xml:space="preserve">that </w:t>
      </w:r>
      <w:r w:rsidR="00DD4DB1">
        <w:t xml:space="preserve">some activity will </w:t>
      </w:r>
      <w:r w:rsidR="00593F99">
        <w:t xml:space="preserve">span the full </w:t>
      </w:r>
      <w:r w:rsidR="00E958CF">
        <w:t>five-year</w:t>
      </w:r>
      <w:r w:rsidR="00593F99">
        <w:t xml:space="preserve"> horizon</w:t>
      </w:r>
      <w:r w:rsidR="007C2098">
        <w:t>.</w:t>
      </w:r>
    </w:p>
    <w:p w14:paraId="20C9326D" w14:textId="77777777" w:rsidR="00891A18" w:rsidRDefault="00891A18">
      <w:pPr>
        <w:spacing w:before="0" w:line="259" w:lineRule="auto"/>
        <w:rPr>
          <w:sz w:val="20"/>
          <w:szCs w:val="20"/>
        </w:rPr>
      </w:pPr>
      <w:r>
        <w:rPr>
          <w:sz w:val="20"/>
          <w:szCs w:val="20"/>
        </w:rPr>
        <w:br w:type="page"/>
      </w:r>
    </w:p>
    <w:p w14:paraId="7FDD4F73" w14:textId="2362CFC3" w:rsidR="00D71F91" w:rsidRDefault="00D71F91" w:rsidP="00D71F91">
      <w:pPr>
        <w:rPr>
          <w:sz w:val="20"/>
          <w:szCs w:val="20"/>
        </w:rPr>
      </w:pPr>
      <w:r w:rsidRPr="008E07B3">
        <w:rPr>
          <w:sz w:val="20"/>
          <w:szCs w:val="20"/>
        </w:rPr>
        <w:lastRenderedPageBreak/>
        <w:t xml:space="preserve">Figure </w:t>
      </w:r>
      <w:r w:rsidR="00BC1F2B">
        <w:rPr>
          <w:sz w:val="20"/>
          <w:szCs w:val="20"/>
        </w:rPr>
        <w:t>7</w:t>
      </w:r>
      <w:r w:rsidR="00252770">
        <w:rPr>
          <w:sz w:val="20"/>
          <w:szCs w:val="20"/>
        </w:rPr>
        <w:t xml:space="preserve">: </w:t>
      </w:r>
      <w:r w:rsidRPr="008E07B3">
        <w:rPr>
          <w:sz w:val="20"/>
          <w:szCs w:val="20"/>
        </w:rPr>
        <w:t xml:space="preserve">Risk </w:t>
      </w:r>
      <w:r w:rsidR="007054DA">
        <w:rPr>
          <w:sz w:val="20"/>
          <w:szCs w:val="20"/>
        </w:rPr>
        <w:t>f</w:t>
      </w:r>
      <w:r w:rsidRPr="008E07B3">
        <w:rPr>
          <w:sz w:val="20"/>
          <w:szCs w:val="20"/>
        </w:rPr>
        <w:t xml:space="preserve">inancing </w:t>
      </w:r>
      <w:r>
        <w:rPr>
          <w:sz w:val="20"/>
          <w:szCs w:val="20"/>
        </w:rPr>
        <w:t>activities</w:t>
      </w:r>
      <w:r w:rsidRPr="008E07B3">
        <w:rPr>
          <w:sz w:val="20"/>
          <w:szCs w:val="20"/>
        </w:rPr>
        <w:t xml:space="preserve"> over </w:t>
      </w:r>
      <w:r w:rsidR="00F93BDB">
        <w:rPr>
          <w:sz w:val="20"/>
          <w:szCs w:val="20"/>
        </w:rPr>
        <w:t>five years from 202</w:t>
      </w:r>
      <w:r w:rsidR="00232151">
        <w:rPr>
          <w:sz w:val="20"/>
          <w:szCs w:val="20"/>
        </w:rPr>
        <w:t>5</w:t>
      </w:r>
      <w:r w:rsidR="00F93BDB">
        <w:rPr>
          <w:sz w:val="20"/>
          <w:szCs w:val="20"/>
        </w:rPr>
        <w:t>-2030</w:t>
      </w:r>
    </w:p>
    <w:p w14:paraId="1C0A5868" w14:textId="56C4C5F0" w:rsidR="00A7111A" w:rsidRDefault="00A7111A" w:rsidP="00D71F91">
      <w:pPr>
        <w:rPr>
          <w:sz w:val="20"/>
          <w:szCs w:val="20"/>
        </w:rPr>
      </w:pPr>
      <w:r>
        <w:rPr>
          <w:noProof/>
        </w:rPr>
        <w:drawing>
          <wp:inline distT="0" distB="0" distL="0" distR="0" wp14:anchorId="55EA7B6D" wp14:editId="481724AA">
            <wp:extent cx="5702300" cy="5651500"/>
            <wp:effectExtent l="38100" t="19050" r="50800" b="44450"/>
            <wp:docPr id="962976723"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2CCF2CD6" w14:textId="3EFDC1C0" w:rsidR="00432F44" w:rsidRPr="00707CE2" w:rsidRDefault="00BF462C" w:rsidP="00071C9F">
      <w:pPr>
        <w:pStyle w:val="Heading1"/>
      </w:pPr>
      <w:bookmarkStart w:id="108" w:name="_Toc1106433625"/>
      <w:bookmarkStart w:id="109" w:name="_Toc231890660"/>
      <w:r>
        <w:t xml:space="preserve">Risk </w:t>
      </w:r>
      <w:r w:rsidR="00CE12C7">
        <w:t>f</w:t>
      </w:r>
      <w:r>
        <w:t xml:space="preserve">inancing </w:t>
      </w:r>
      <w:r w:rsidR="001A0505">
        <w:t>requires s</w:t>
      </w:r>
      <w:r w:rsidR="005E4B0C">
        <w:t>pecific expertise</w:t>
      </w:r>
      <w:bookmarkEnd w:id="108"/>
      <w:bookmarkEnd w:id="109"/>
    </w:p>
    <w:p w14:paraId="379D6408" w14:textId="77777777" w:rsidR="00CF6CB0" w:rsidRDefault="00CF6CB0" w:rsidP="00CF6CB0">
      <w:pPr>
        <w:spacing w:after="120"/>
      </w:pPr>
      <w:r>
        <w:t>Markets are dynamic and ever</w:t>
      </w:r>
      <w:r w:rsidDel="00E17323">
        <w:t xml:space="preserve"> </w:t>
      </w:r>
      <w:r>
        <w:t>evolving. We need to be connected to understand the innovation that is happening and how we could benefit, for example:</w:t>
      </w:r>
    </w:p>
    <w:p w14:paraId="2C136132" w14:textId="77777777" w:rsidR="00CF6CB0" w:rsidRDefault="00CF6CB0" w:rsidP="00CF6CB0">
      <w:pPr>
        <w:pStyle w:val="ListParagraph"/>
        <w:numPr>
          <w:ilvl w:val="0"/>
          <w:numId w:val="6"/>
        </w:numPr>
      </w:pPr>
      <w:r>
        <w:t xml:space="preserve">alternative risk products </w:t>
      </w:r>
    </w:p>
    <w:p w14:paraId="7E849047" w14:textId="77777777" w:rsidR="00CF6CB0" w:rsidRDefault="00CF6CB0" w:rsidP="00CF6CB0">
      <w:pPr>
        <w:pStyle w:val="ListParagraph"/>
        <w:numPr>
          <w:ilvl w:val="0"/>
          <w:numId w:val="6"/>
        </w:numPr>
      </w:pPr>
      <w:r>
        <w:t xml:space="preserve">the impact of natural hazards happening outside of New Zealand </w:t>
      </w:r>
    </w:p>
    <w:p w14:paraId="3EA0012F" w14:textId="77777777" w:rsidR="00CF6CB0" w:rsidRDefault="00CF6CB0" w:rsidP="00CF6CB0">
      <w:pPr>
        <w:pStyle w:val="ListParagraph"/>
        <w:numPr>
          <w:ilvl w:val="0"/>
          <w:numId w:val="6"/>
        </w:numPr>
      </w:pPr>
      <w:r>
        <w:t>investor appetite and global economic trends.</w:t>
      </w:r>
    </w:p>
    <w:p w14:paraId="4741FC01" w14:textId="243BC0F9" w:rsidR="005E4B0C" w:rsidRDefault="000B2427" w:rsidP="002855F2">
      <w:pPr>
        <w:spacing w:after="120"/>
      </w:pPr>
      <w:r>
        <w:t>Our</w:t>
      </w:r>
      <w:r w:rsidR="005E4B0C">
        <w:t xml:space="preserve"> in-house </w:t>
      </w:r>
      <w:r w:rsidR="00395333">
        <w:t>capa</w:t>
      </w:r>
      <w:r w:rsidR="007A454F">
        <w:t>bility is complemented</w:t>
      </w:r>
      <w:r w:rsidR="00D006BA">
        <w:t xml:space="preserve"> by</w:t>
      </w:r>
      <w:r w:rsidR="002B0AC3">
        <w:t xml:space="preserve"> </w:t>
      </w:r>
      <w:r w:rsidR="00C823EC">
        <w:t xml:space="preserve">strong partnerships with other organisations. </w:t>
      </w:r>
      <w:r w:rsidR="00B643AC">
        <w:t xml:space="preserve">These </w:t>
      </w:r>
      <w:r w:rsidR="00C823EC">
        <w:t>include reinsurance brokers</w:t>
      </w:r>
      <w:r w:rsidR="00BF61B3">
        <w:t xml:space="preserve">, capital market advisors, investment experts, actuarial consultancies and </w:t>
      </w:r>
      <w:r w:rsidR="001E3700">
        <w:t xml:space="preserve">other publicly funded risk pools. </w:t>
      </w:r>
      <w:r w:rsidR="00BE58A7">
        <w:t>We</w:t>
      </w:r>
      <w:r w:rsidR="00590B92">
        <w:t xml:space="preserve"> seek to learn from these</w:t>
      </w:r>
      <w:r w:rsidR="009C5CC0">
        <w:t xml:space="preserve"> entities and share </w:t>
      </w:r>
      <w:r w:rsidR="00BE58A7">
        <w:t xml:space="preserve">our </w:t>
      </w:r>
      <w:r w:rsidR="009C5CC0">
        <w:t>experience</w:t>
      </w:r>
      <w:r w:rsidR="007366C2">
        <w:t xml:space="preserve"> and </w:t>
      </w:r>
      <w:r w:rsidR="009C5CC0">
        <w:t>knowledge.</w:t>
      </w:r>
    </w:p>
    <w:p w14:paraId="3696D50E" w14:textId="35899D69" w:rsidR="00D67AF2" w:rsidRPr="00821F3A" w:rsidRDefault="007D0A88" w:rsidP="00071C9F">
      <w:pPr>
        <w:pStyle w:val="Heading1"/>
      </w:pPr>
      <w:bookmarkStart w:id="110" w:name="_Toc296189393"/>
      <w:bookmarkStart w:id="111" w:name="_Toc231890661"/>
      <w:r w:rsidRPr="00821F3A">
        <w:lastRenderedPageBreak/>
        <w:t>Maintain</w:t>
      </w:r>
      <w:r w:rsidR="004C378A" w:rsidRPr="00821F3A">
        <w:t>ing</w:t>
      </w:r>
      <w:r w:rsidRPr="00821F3A">
        <w:t xml:space="preserve"> consistency and m</w:t>
      </w:r>
      <w:r w:rsidR="00CF2D9C" w:rsidRPr="00821F3A">
        <w:t xml:space="preserve">onitoring progress </w:t>
      </w:r>
      <w:r w:rsidRPr="00821F3A">
        <w:t>to ensure</w:t>
      </w:r>
      <w:r w:rsidR="00CF2D9C" w:rsidRPr="00821F3A">
        <w:t xml:space="preserve"> success</w:t>
      </w:r>
      <w:bookmarkEnd w:id="107"/>
      <w:bookmarkEnd w:id="110"/>
      <w:bookmarkEnd w:id="111"/>
    </w:p>
    <w:p w14:paraId="3CA78102" w14:textId="5011A76E" w:rsidR="00037443" w:rsidRDefault="00F36A1F" w:rsidP="002855F2">
      <w:pPr>
        <w:spacing w:after="120"/>
      </w:pPr>
      <w:r w:rsidRPr="00821F3A">
        <w:t xml:space="preserve">We will track our </w:t>
      </w:r>
      <w:r w:rsidR="00F517C6" w:rsidRPr="00821F3A">
        <w:t xml:space="preserve">success and </w:t>
      </w:r>
      <w:r w:rsidRPr="00821F3A">
        <w:t xml:space="preserve">progress </w:t>
      </w:r>
      <w:r w:rsidR="004C3C37" w:rsidRPr="00821F3A">
        <w:t xml:space="preserve">by </w:t>
      </w:r>
      <w:r w:rsidR="00C36009" w:rsidRPr="00821F3A">
        <w:t>m</w:t>
      </w:r>
      <w:r w:rsidR="00D51E33" w:rsidRPr="00821F3A">
        <w:t xml:space="preserve">onitoring and annually reviewing the </w:t>
      </w:r>
      <w:r w:rsidR="007E6D67" w:rsidRPr="00821F3A">
        <w:t xml:space="preserve">delivery of </w:t>
      </w:r>
      <w:r w:rsidR="00FC2CD1" w:rsidRPr="00821F3A">
        <w:t xml:space="preserve">our </w:t>
      </w:r>
      <w:proofErr w:type="spellStart"/>
      <w:r w:rsidR="00FF7E45" w:rsidRPr="00821F3A">
        <w:t>SoI</w:t>
      </w:r>
      <w:proofErr w:type="spellEnd"/>
      <w:r w:rsidR="00C36009" w:rsidRPr="00821F3A">
        <w:t xml:space="preserve"> measures</w:t>
      </w:r>
      <w:r w:rsidR="00336A38" w:rsidRPr="00821F3A">
        <w:t>,</w:t>
      </w:r>
      <w:r w:rsidR="00C36009" w:rsidRPr="00821F3A">
        <w:t xml:space="preserve"> including any </w:t>
      </w:r>
      <w:r w:rsidR="00B47355" w:rsidRPr="00821F3A">
        <w:t xml:space="preserve">Statement of Performance Expectations measures and </w:t>
      </w:r>
      <w:r w:rsidR="00D51E33" w:rsidRPr="00821F3A">
        <w:t>progress of our roadmaps.</w:t>
      </w:r>
      <w:r w:rsidR="00C36009" w:rsidRPr="00821F3A">
        <w:t xml:space="preserve"> We will also m</w:t>
      </w:r>
      <w:r w:rsidR="0097718C" w:rsidRPr="00821F3A">
        <w:t>onitor h</w:t>
      </w:r>
      <w:r w:rsidR="00037443" w:rsidRPr="00821F3A">
        <w:t xml:space="preserve">ow we are meeting our objectives through our priorities, and </w:t>
      </w:r>
      <w:r w:rsidR="0097718C" w:rsidRPr="00821F3A">
        <w:t>whether</w:t>
      </w:r>
      <w:r w:rsidR="00037443" w:rsidRPr="00821F3A">
        <w:t xml:space="preserve"> they are meeting our desired outcomes.</w:t>
      </w:r>
      <w:r w:rsidR="00267207" w:rsidRPr="00821F3A">
        <w:t xml:space="preserve"> Where necessary we will update these key documents to ensure a consistent approach to risk finance across </w:t>
      </w:r>
      <w:r w:rsidR="00F668FE" w:rsidRPr="00821F3A">
        <w:t>the key elements.</w:t>
      </w:r>
      <w:r w:rsidR="00F668FE">
        <w:t xml:space="preserve"> </w:t>
      </w:r>
    </w:p>
    <w:p w14:paraId="2A43184C" w14:textId="64FCDBE5" w:rsidR="00731ED1" w:rsidRDefault="00304DD2" w:rsidP="000649F4">
      <w:pPr>
        <w:spacing w:after="120"/>
      </w:pPr>
      <w:r>
        <w:t xml:space="preserve">Our </w:t>
      </w:r>
      <w:proofErr w:type="spellStart"/>
      <w:r>
        <w:t>SoI</w:t>
      </w:r>
      <w:proofErr w:type="spellEnd"/>
      <w:r w:rsidR="00731ED1">
        <w:t xml:space="preserve"> </w:t>
      </w:r>
      <w:r w:rsidR="0030081D">
        <w:t xml:space="preserve">sets out </w:t>
      </w:r>
      <w:r w:rsidR="00313C86">
        <w:t>the</w:t>
      </w:r>
      <w:r w:rsidR="00731ED1">
        <w:t xml:space="preserve"> following </w:t>
      </w:r>
      <w:r w:rsidR="00A42982">
        <w:t>Risk F</w:t>
      </w:r>
      <w:r w:rsidR="00731ED1">
        <w:t>inancing measures</w:t>
      </w:r>
      <w:r w:rsidR="00A42982">
        <w:t>:</w:t>
      </w:r>
    </w:p>
    <w:p w14:paraId="4745E951" w14:textId="112B02FF" w:rsidR="00731ED1" w:rsidRDefault="00C36009" w:rsidP="00645914">
      <w:pPr>
        <w:pStyle w:val="ListParagraph"/>
        <w:numPr>
          <w:ilvl w:val="0"/>
          <w:numId w:val="6"/>
        </w:numPr>
        <w:ind w:left="357" w:hanging="357"/>
        <w:contextualSpacing w:val="0"/>
      </w:pPr>
      <w:r>
        <w:t xml:space="preserve">Obtaining appropriate </w:t>
      </w:r>
      <w:r w:rsidR="00402513">
        <w:t xml:space="preserve">financial risk transfer </w:t>
      </w:r>
      <w:r>
        <w:t>cover</w:t>
      </w:r>
      <w:r w:rsidR="000649F4">
        <w:t>.</w:t>
      </w:r>
    </w:p>
    <w:p w14:paraId="71E858F9" w14:textId="43FC5BD3" w:rsidR="00731ED1" w:rsidRDefault="00C36009" w:rsidP="00645914">
      <w:pPr>
        <w:pStyle w:val="ListParagraph"/>
        <w:numPr>
          <w:ilvl w:val="0"/>
          <w:numId w:val="6"/>
        </w:numPr>
        <w:ind w:left="357" w:hanging="357"/>
        <w:contextualSpacing w:val="0"/>
      </w:pPr>
      <w:r>
        <w:t>Reviewing our risk financing strategy annually</w:t>
      </w:r>
      <w:r w:rsidR="000649F4">
        <w:t>.</w:t>
      </w:r>
    </w:p>
    <w:p w14:paraId="651FD01E" w14:textId="2228DC65" w:rsidR="00731ED1" w:rsidRDefault="00C36009" w:rsidP="00645914">
      <w:pPr>
        <w:pStyle w:val="ListParagraph"/>
        <w:numPr>
          <w:ilvl w:val="0"/>
          <w:numId w:val="6"/>
        </w:numPr>
        <w:ind w:left="357" w:hanging="357"/>
        <w:contextualSpacing w:val="0"/>
      </w:pPr>
      <w:r>
        <w:t xml:space="preserve">Collecting expected </w:t>
      </w:r>
      <w:r w:rsidR="00025374">
        <w:t xml:space="preserve">NHI </w:t>
      </w:r>
      <w:r>
        <w:t>levies</w:t>
      </w:r>
      <w:r w:rsidR="000649F4">
        <w:t>.</w:t>
      </w:r>
    </w:p>
    <w:p w14:paraId="07158AD8" w14:textId="34889E09" w:rsidR="00C36009" w:rsidRDefault="00C36009" w:rsidP="00645914">
      <w:pPr>
        <w:pStyle w:val="ListParagraph"/>
        <w:numPr>
          <w:ilvl w:val="0"/>
          <w:numId w:val="6"/>
        </w:numPr>
        <w:ind w:left="357" w:hanging="357"/>
        <w:contextualSpacing w:val="0"/>
      </w:pPr>
      <w:r>
        <w:t>Delivery of an investment strategy and framework based on parameters provided in the Crown's FRMS</w:t>
      </w:r>
      <w:r w:rsidR="00C66546">
        <w:t>.</w:t>
      </w:r>
    </w:p>
    <w:p w14:paraId="43989CB4" w14:textId="07E0D4D8" w:rsidR="009C5CC0" w:rsidRDefault="00654984" w:rsidP="000649F4">
      <w:pPr>
        <w:spacing w:after="120"/>
      </w:pPr>
      <w:r>
        <w:t>The following</w:t>
      </w:r>
      <w:r w:rsidR="00E16A5D">
        <w:t xml:space="preserve"> </w:t>
      </w:r>
      <w:r w:rsidR="64081F04">
        <w:t>committees</w:t>
      </w:r>
      <w:r w:rsidR="008D27A5">
        <w:t xml:space="preserve"> </w:t>
      </w:r>
      <w:r w:rsidR="009C5CC0">
        <w:t xml:space="preserve">provide oversight and governance </w:t>
      </w:r>
      <w:r w:rsidR="00FF0270">
        <w:t xml:space="preserve">of </w:t>
      </w:r>
      <w:r w:rsidR="00D37018">
        <w:t xml:space="preserve">our </w:t>
      </w:r>
      <w:r w:rsidR="00FF0270">
        <w:t>r</w:t>
      </w:r>
      <w:r w:rsidR="009C5CC0">
        <w:t xml:space="preserve">isk </w:t>
      </w:r>
      <w:r w:rsidR="00FF0270">
        <w:t>f</w:t>
      </w:r>
      <w:r w:rsidR="009C5CC0">
        <w:t>inancing</w:t>
      </w:r>
      <w:r w:rsidR="00D37018">
        <w:t xml:space="preserve"> activities and related </w:t>
      </w:r>
      <w:proofErr w:type="spellStart"/>
      <w:r w:rsidR="00D37018">
        <w:t>SoI</w:t>
      </w:r>
      <w:proofErr w:type="spellEnd"/>
      <w:r w:rsidR="00D37018">
        <w:t xml:space="preserve"> output class</w:t>
      </w:r>
      <w:r w:rsidR="009C5CC0">
        <w:t>:</w:t>
      </w:r>
    </w:p>
    <w:p w14:paraId="461A4A87" w14:textId="5BA8DE79" w:rsidR="00C66546" w:rsidRPr="006A7291" w:rsidRDefault="005D3D1C" w:rsidP="00645914">
      <w:pPr>
        <w:pStyle w:val="ListParagraph"/>
        <w:numPr>
          <w:ilvl w:val="0"/>
          <w:numId w:val="7"/>
        </w:numPr>
        <w:ind w:left="357" w:hanging="357"/>
        <w:contextualSpacing w:val="0"/>
      </w:pPr>
      <w:r w:rsidRPr="006D2809">
        <w:t xml:space="preserve">Capital Management </w:t>
      </w:r>
      <w:r w:rsidR="00326C3A">
        <w:t>C</w:t>
      </w:r>
      <w:r w:rsidRPr="006D2809">
        <w:t>ommittee</w:t>
      </w:r>
      <w:r>
        <w:t xml:space="preserve"> </w:t>
      </w:r>
      <w:r w:rsidR="00654984">
        <w:t>–</w:t>
      </w:r>
      <w:r w:rsidR="00074A2F">
        <w:t xml:space="preserve"> this</w:t>
      </w:r>
      <w:r w:rsidR="000273BF">
        <w:t xml:space="preserve"> forum supports the Board by </w:t>
      </w:r>
      <w:r w:rsidR="00DA2216">
        <w:t xml:space="preserve">reviewing </w:t>
      </w:r>
      <w:r w:rsidR="008D4ABB">
        <w:t>the development, execution and performance of this strategy</w:t>
      </w:r>
      <w:r w:rsidR="0009669F" w:rsidRPr="006A7291">
        <w:t xml:space="preserve">, </w:t>
      </w:r>
      <w:r w:rsidR="0009669F" w:rsidRPr="00F73D60">
        <w:t>including our RFS</w:t>
      </w:r>
      <w:r w:rsidR="007A592F" w:rsidRPr="00F73D60">
        <w:t>, REMS and SIPO</w:t>
      </w:r>
      <w:r w:rsidR="008D4ABB" w:rsidRPr="006A7291">
        <w:t>.</w:t>
      </w:r>
    </w:p>
    <w:p w14:paraId="3C2D999A" w14:textId="692347CF" w:rsidR="00654984" w:rsidRDefault="00507C1A" w:rsidP="00645914">
      <w:pPr>
        <w:pStyle w:val="ListParagraph"/>
        <w:numPr>
          <w:ilvl w:val="0"/>
          <w:numId w:val="7"/>
        </w:numPr>
        <w:ind w:left="357" w:hanging="357"/>
        <w:contextualSpacing w:val="0"/>
      </w:pPr>
      <w:r w:rsidRPr="00F73D60">
        <w:t>Exec</w:t>
      </w:r>
      <w:r w:rsidR="00FA113E" w:rsidRPr="00F73D60">
        <w:t>utive Investment Committee</w:t>
      </w:r>
      <w:r w:rsidR="00296537" w:rsidRPr="006A7291">
        <w:t xml:space="preserve"> </w:t>
      </w:r>
      <w:r w:rsidR="00654984" w:rsidRPr="006A7291">
        <w:t>– a</w:t>
      </w:r>
      <w:r w:rsidR="00654984">
        <w:t xml:space="preserve"> management committee that discusses major items and tracks progress on deliverables</w:t>
      </w:r>
      <w:r w:rsidR="00296537">
        <w:t xml:space="preserve"> relating to </w:t>
      </w:r>
      <w:r w:rsidR="00336A38">
        <w:t>i</w:t>
      </w:r>
      <w:r w:rsidR="00296537">
        <w:t>nvestments</w:t>
      </w:r>
      <w:r w:rsidR="00654984">
        <w:t>.</w:t>
      </w:r>
    </w:p>
    <w:p w14:paraId="05CB7B5C" w14:textId="329A38BF" w:rsidR="00630B71" w:rsidRPr="00960902" w:rsidRDefault="00630B71" w:rsidP="00160178"/>
    <w:sectPr w:rsidR="00630B71" w:rsidRPr="00960902" w:rsidSect="00071C9F">
      <w:headerReference w:type="even" r:id="rId41"/>
      <w:footerReference w:type="even" r:id="rId42"/>
      <w:footerReference w:type="default" r:id="rId43"/>
      <w:headerReference w:type="first" r:id="rId44"/>
      <w:footerReference w:type="first" r:id="rId45"/>
      <w:pgSz w:w="11910" w:h="16840" w:code="9"/>
      <w:pgMar w:top="720" w:right="1440" w:bottom="1152" w:left="1440" w:header="720" w:footer="36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50569" w14:textId="77777777" w:rsidR="00E4240B" w:rsidRDefault="00E4240B" w:rsidP="006514D4">
      <w:pPr>
        <w:spacing w:after="0" w:line="240" w:lineRule="auto"/>
      </w:pPr>
      <w:r>
        <w:separator/>
      </w:r>
    </w:p>
  </w:endnote>
  <w:endnote w:type="continuationSeparator" w:id="0">
    <w:p w14:paraId="5B4197D6" w14:textId="77777777" w:rsidR="00E4240B" w:rsidRDefault="00E4240B" w:rsidP="006514D4">
      <w:pPr>
        <w:spacing w:after="0" w:line="240" w:lineRule="auto"/>
      </w:pPr>
      <w:r>
        <w:continuationSeparator/>
      </w:r>
    </w:p>
  </w:endnote>
  <w:endnote w:type="continuationNotice" w:id="1">
    <w:p w14:paraId="6464B05D" w14:textId="77777777" w:rsidR="00E4240B" w:rsidRDefault="00E4240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75DBA" w14:textId="69D83851" w:rsidR="002C2A31" w:rsidRDefault="00B4015F">
    <w:pPr>
      <w:pStyle w:val="Footer"/>
    </w:pPr>
    <w:r>
      <w:rPr>
        <w:noProof/>
      </w:rPr>
      <mc:AlternateContent>
        <mc:Choice Requires="wps">
          <w:drawing>
            <wp:anchor distT="0" distB="0" distL="0" distR="0" simplePos="0" relativeHeight="251658240" behindDoc="0" locked="0" layoutInCell="1" allowOverlap="1" wp14:anchorId="26F55844" wp14:editId="39CD49E6">
              <wp:simplePos x="635" y="635"/>
              <wp:positionH relativeFrom="page">
                <wp:align>center</wp:align>
              </wp:positionH>
              <wp:positionV relativeFrom="page">
                <wp:align>bottom</wp:align>
              </wp:positionV>
              <wp:extent cx="1584325" cy="452755"/>
              <wp:effectExtent l="0" t="0" r="15875" b="0"/>
              <wp:wrapNone/>
              <wp:docPr id="847370035" name="Text Box 5" descr="IN CONFIDENCE-COMMER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84325" cy="452755"/>
                      </a:xfrm>
                      <a:prstGeom prst="rect">
                        <a:avLst/>
                      </a:prstGeom>
                      <a:noFill/>
                      <a:ln>
                        <a:noFill/>
                      </a:ln>
                    </wps:spPr>
                    <wps:txbx>
                      <w:txbxContent>
                        <w:p w14:paraId="39243EE4" w14:textId="3E8D8E0A" w:rsidR="00B4015F" w:rsidRPr="00B4015F" w:rsidRDefault="00B4015F" w:rsidP="00B4015F">
                          <w:pPr>
                            <w:spacing w:after="0"/>
                            <w:rPr>
                              <w:rFonts w:ascii="Calibri" w:eastAsia="Calibri" w:hAnsi="Calibri" w:cs="Calibri"/>
                              <w:noProof/>
                              <w:color w:val="000000"/>
                              <w:sz w:val="20"/>
                              <w:szCs w:val="20"/>
                            </w:rPr>
                          </w:pPr>
                          <w:r w:rsidRPr="00B4015F">
                            <w:rPr>
                              <w:rFonts w:ascii="Calibri" w:eastAsia="Calibri" w:hAnsi="Calibri" w:cs="Calibri"/>
                              <w:noProof/>
                              <w:color w:val="000000"/>
                              <w:sz w:val="20"/>
                              <w:szCs w:val="20"/>
                            </w:rPr>
                            <w:t>IN CONFIDENCE-COMMERCIAL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6F55844" id="_x0000_t202" coordsize="21600,21600" o:spt="202" path="m,l,21600r21600,l21600,xe">
              <v:stroke joinstyle="miter"/>
              <v:path gradientshapeok="t" o:connecttype="rect"/>
            </v:shapetype>
            <v:shape id="Text Box 5" o:spid="_x0000_s1028" type="#_x0000_t202" alt="IN CONFIDENCE-COMMERCIAL" style="position:absolute;margin-left:0;margin-top:0;width:124.75pt;height:35.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" filled="f" stroked="f">
              <v:textbox style="mso-fit-shape-to-text:t" inset="0,0,0,15pt">
                <w:txbxContent>
                  <w:p w14:paraId="39243EE4" w14:textId="3E8D8E0A" w:rsidR="00B4015F" w:rsidRPr="00B4015F" w:rsidRDefault="00B4015F" w:rsidP="00B4015F">
                    <w:pPr>
                      <w:spacing w:after="0"/>
                      <w:rPr>
                        <w:rFonts w:ascii="Calibri" w:eastAsia="Calibri" w:hAnsi="Calibri" w:cs="Calibri"/>
                        <w:noProof/>
                        <w:color w:val="000000"/>
                        <w:sz w:val="20"/>
                        <w:szCs w:val="20"/>
                      </w:rPr>
                    </w:pPr>
                    <w:r w:rsidRPr="00B4015F">
                      <w:rPr>
                        <w:rFonts w:ascii="Calibri" w:eastAsia="Calibri" w:hAnsi="Calibri" w:cs="Calibri"/>
                        <w:noProof/>
                        <w:color w:val="000000"/>
                        <w:sz w:val="20"/>
                        <w:szCs w:val="20"/>
                      </w:rPr>
                      <w:t>IN CONFIDENCE-COMMERCIAL</w:t>
                    </w:r>
                  </w:p>
                </w:txbxContent>
              </v:textbox>
              <w10:wrap anchorx="page" anchory="page"/>
            </v:shape>
          </w:pict>
        </mc:Fallback>
      </mc:AlternateContent>
    </w:r>
  </w:p>
  <w:p w14:paraId="17C77D84" w14:textId="77777777" w:rsidR="005361A5" w:rsidRDefault="005361A5"/>
  <w:p w14:paraId="436F28CE" w14:textId="77777777" w:rsidR="000F55E6" w:rsidRDefault="000F55E6"/>
  <w:p w14:paraId="7E381117" w14:textId="77777777" w:rsidR="000F55E6" w:rsidRDefault="000F55E6"/>
  <w:p w14:paraId="0EA98D54" w14:textId="77777777" w:rsidR="000F55E6" w:rsidRDefault="000F55E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AFB7E" w14:textId="68491F2A" w:rsidR="002C2A31" w:rsidRPr="000125CE" w:rsidRDefault="00B4015F" w:rsidP="00EF5D77">
    <w:pPr>
      <w:pStyle w:val="Footer"/>
      <w:tabs>
        <w:tab w:val="left" w:pos="2040"/>
        <w:tab w:val="right" w:pos="9756"/>
      </w:tabs>
      <w:jc w:val="right"/>
      <w:rPr>
        <w:color w:val="auto"/>
        <w:sz w:val="18"/>
        <w:szCs w:val="18"/>
      </w:rPr>
    </w:pPr>
    <w:r>
      <w:rPr>
        <w:noProof/>
      </w:rPr>
      <mc:AlternateContent>
        <mc:Choice Requires="wps">
          <w:drawing>
            <wp:anchor distT="0" distB="0" distL="0" distR="0" simplePos="0" relativeHeight="251658241" behindDoc="0" locked="0" layoutInCell="1" allowOverlap="1" wp14:anchorId="583D7FFF" wp14:editId="059FCC8B">
              <wp:simplePos x="914400" y="10249231"/>
              <wp:positionH relativeFrom="page">
                <wp:align>center</wp:align>
              </wp:positionH>
              <wp:positionV relativeFrom="page">
                <wp:align>bottom</wp:align>
              </wp:positionV>
              <wp:extent cx="1584325" cy="452755"/>
              <wp:effectExtent l="0" t="0" r="15875" b="0"/>
              <wp:wrapNone/>
              <wp:docPr id="505761334" name="Text Box 6" descr="IN CONFIDENCE-COMMER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84325" cy="452755"/>
                      </a:xfrm>
                      <a:prstGeom prst="rect">
                        <a:avLst/>
                      </a:prstGeom>
                      <a:noFill/>
                      <a:ln>
                        <a:noFill/>
                      </a:ln>
                    </wps:spPr>
                    <wps:txbx>
                      <w:txbxContent>
                        <w:p w14:paraId="054AB0A1" w14:textId="09848D55" w:rsidR="00B4015F" w:rsidRPr="00B4015F" w:rsidRDefault="009D1CF0" w:rsidP="00B4015F">
                          <w:pPr>
                            <w:spacing w:after="0"/>
                            <w:rPr>
                              <w:rFonts w:ascii="Calibri" w:eastAsia="Calibri" w:hAnsi="Calibri" w:cs="Calibri"/>
                              <w:noProof/>
                              <w:color w:val="000000"/>
                              <w:sz w:val="20"/>
                              <w:szCs w:val="20"/>
                            </w:rPr>
                          </w:pPr>
                          <w:r>
                            <w:rPr>
                              <w:rFonts w:ascii="Calibri" w:eastAsia="Calibri" w:hAnsi="Calibri" w:cs="Calibri"/>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83D7FFF" id="_x0000_t202" coordsize="21600,21600" o:spt="202" path="m,l,21600r21600,l21600,xe">
              <v:stroke joinstyle="miter"/>
              <v:path gradientshapeok="t" o:connecttype="rect"/>
            </v:shapetype>
            <v:shape id="Text Box 6" o:spid="_x0000_s1029" type="#_x0000_t202" alt="IN CONFIDENCE-COMMERCIAL" style="position:absolute;left:0;text-align:left;margin-left:0;margin-top:0;width:124.75pt;height:35.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" filled="f" stroked="f">
              <v:textbox style="mso-fit-shape-to-text:t" inset="0,0,0,15pt">
                <w:txbxContent>
                  <w:p w14:paraId="054AB0A1" w14:textId="09848D55" w:rsidR="00B4015F" w:rsidRPr="00B4015F" w:rsidRDefault="009D1CF0" w:rsidP="00B4015F">
                    <w:pPr>
                      <w:spacing w:after="0"/>
                      <w:rPr>
                        <w:rFonts w:ascii="Calibri" w:eastAsia="Calibri" w:hAnsi="Calibri" w:cs="Calibri"/>
                        <w:noProof/>
                        <w:color w:val="000000"/>
                        <w:sz w:val="20"/>
                        <w:szCs w:val="20"/>
                      </w:rPr>
                    </w:pPr>
                    <w:r>
                      <w:rPr>
                        <w:rFonts w:ascii="Calibri" w:eastAsia="Calibri" w:hAnsi="Calibri" w:cs="Calibri"/>
                        <w:noProof/>
                        <w:color w:val="000000"/>
                        <w:sz w:val="20"/>
                        <w:szCs w:val="20"/>
                      </w:rPr>
                      <w:t>PUBLIC</w:t>
                    </w:r>
                  </w:p>
                </w:txbxContent>
              </v:textbox>
              <w10:wrap anchorx="page" anchory="page"/>
            </v:shape>
          </w:pict>
        </mc:Fallback>
      </mc:AlternateContent>
    </w:r>
    <w:r w:rsidR="006A6B98">
      <w:rPr>
        <w:noProof/>
      </w:rPr>
      <w:drawing>
        <wp:anchor distT="0" distB="0" distL="114300" distR="114300" simplePos="0" relativeHeight="251658242" behindDoc="0" locked="0" layoutInCell="1" allowOverlap="1" wp14:anchorId="16D4A95C" wp14:editId="169C6642">
          <wp:simplePos x="0" y="0"/>
          <wp:positionH relativeFrom="column">
            <wp:posOffset>26211</wp:posOffset>
          </wp:positionH>
          <wp:positionV relativeFrom="paragraph">
            <wp:posOffset>137160</wp:posOffset>
          </wp:positionV>
          <wp:extent cx="405412" cy="82550"/>
          <wp:effectExtent l="0" t="0" r="0" b="0"/>
          <wp:wrapNone/>
          <wp:docPr id="12370924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3435"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405412" cy="82550"/>
                  </a:xfrm>
                  <a:prstGeom prst="rect">
                    <a:avLst/>
                  </a:prstGeom>
                </pic:spPr>
              </pic:pic>
            </a:graphicData>
          </a:graphic>
          <wp14:sizeRelH relativeFrom="margin">
            <wp14:pctWidth>0</wp14:pctWidth>
          </wp14:sizeRelH>
          <wp14:sizeRelV relativeFrom="margin">
            <wp14:pctHeight>0</wp14:pctHeight>
          </wp14:sizeRelV>
        </wp:anchor>
      </w:drawing>
    </w:r>
    <w:r w:rsidR="00317495">
      <w:rPr>
        <w:color w:val="auto"/>
      </w:rPr>
      <w:tab/>
    </w:r>
    <w:r w:rsidR="000125CE" w:rsidRPr="000125CE">
      <w:rPr>
        <w:color w:val="595959" w:themeColor="text2" w:themeTint="A6"/>
        <w:sz w:val="18"/>
        <w:szCs w:val="18"/>
      </w:rPr>
      <w:t xml:space="preserve">Page </w:t>
    </w:r>
    <w:r w:rsidR="000125CE" w:rsidRPr="000125CE">
      <w:rPr>
        <w:color w:val="595959" w:themeColor="text2" w:themeTint="A6"/>
        <w:sz w:val="18"/>
        <w:szCs w:val="18"/>
      </w:rPr>
      <w:fldChar w:fldCharType="begin"/>
    </w:r>
    <w:r w:rsidR="000125CE" w:rsidRPr="000125CE">
      <w:rPr>
        <w:color w:val="595959" w:themeColor="text2" w:themeTint="A6"/>
        <w:sz w:val="18"/>
        <w:szCs w:val="18"/>
      </w:rPr>
      <w:instrText xml:space="preserve"> PAGE   \* MERGEFORMAT </w:instrText>
    </w:r>
    <w:r w:rsidR="000125CE" w:rsidRPr="000125CE">
      <w:rPr>
        <w:color w:val="595959" w:themeColor="text2" w:themeTint="A6"/>
        <w:sz w:val="18"/>
        <w:szCs w:val="18"/>
      </w:rPr>
      <w:fldChar w:fldCharType="separate"/>
    </w:r>
    <w:r w:rsidR="000125CE" w:rsidRPr="000125CE">
      <w:rPr>
        <w:noProof/>
        <w:color w:val="595959" w:themeColor="text2" w:themeTint="A6"/>
        <w:sz w:val="18"/>
        <w:szCs w:val="18"/>
      </w:rPr>
      <w:t>1</w:t>
    </w:r>
    <w:r w:rsidR="000125CE" w:rsidRPr="000125CE">
      <w:rPr>
        <w:noProof/>
        <w:color w:val="595959" w:themeColor="text2" w:themeTint="A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9FA5" w14:textId="3786B40C" w:rsidR="00CB4863" w:rsidRPr="000125CE" w:rsidRDefault="00B4015F" w:rsidP="00CB4863">
    <w:pPr>
      <w:pStyle w:val="Footer"/>
      <w:tabs>
        <w:tab w:val="left" w:pos="2040"/>
        <w:tab w:val="right" w:pos="9756"/>
      </w:tabs>
      <w:jc w:val="right"/>
      <w:rPr>
        <w:color w:val="auto"/>
        <w:sz w:val="18"/>
        <w:szCs w:val="18"/>
      </w:rPr>
    </w:pPr>
    <w:r>
      <w:rPr>
        <w:noProof/>
        <w:color w:val="595959" w:themeColor="text2" w:themeTint="A6"/>
        <w:sz w:val="18"/>
        <w:szCs w:val="18"/>
      </w:rPr>
      <mc:AlternateContent>
        <mc:Choice Requires="wps">
          <w:drawing>
            <wp:anchor distT="0" distB="0" distL="0" distR="0" simplePos="0" relativeHeight="251658243" behindDoc="0" locked="0" layoutInCell="1" allowOverlap="1" wp14:anchorId="45B60DA5" wp14:editId="2C16F579">
              <wp:simplePos x="635" y="635"/>
              <wp:positionH relativeFrom="page">
                <wp:align>center</wp:align>
              </wp:positionH>
              <wp:positionV relativeFrom="page">
                <wp:align>bottom</wp:align>
              </wp:positionV>
              <wp:extent cx="1584325" cy="452755"/>
              <wp:effectExtent l="0" t="0" r="15875" b="0"/>
              <wp:wrapNone/>
              <wp:docPr id="404089577" name="Text Box 4" descr="IN CONFIDENCE-COMMER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84325" cy="452755"/>
                      </a:xfrm>
                      <a:prstGeom prst="rect">
                        <a:avLst/>
                      </a:prstGeom>
                      <a:noFill/>
                      <a:ln>
                        <a:noFill/>
                      </a:ln>
                    </wps:spPr>
                    <wps:txbx>
                      <w:txbxContent>
                        <w:p w14:paraId="62FE3CE3" w14:textId="4E72AFFF" w:rsidR="00B4015F" w:rsidRPr="00B4015F" w:rsidRDefault="00B4015F" w:rsidP="00B4015F">
                          <w:pPr>
                            <w:spacing w:after="0"/>
                            <w:rPr>
                              <w:rFonts w:ascii="Calibri" w:eastAsia="Calibri" w:hAnsi="Calibri" w:cs="Calibri"/>
                              <w:noProof/>
                              <w:color w:val="000000"/>
                              <w:sz w:val="20"/>
                              <w:szCs w:val="20"/>
                            </w:rPr>
                          </w:pPr>
                          <w:r w:rsidRPr="00B4015F">
                            <w:rPr>
                              <w:rFonts w:ascii="Calibri" w:eastAsia="Calibri" w:hAnsi="Calibri" w:cs="Calibri"/>
                              <w:noProof/>
                              <w:color w:val="000000"/>
                              <w:sz w:val="20"/>
                              <w:szCs w:val="20"/>
                            </w:rPr>
                            <w:t>IN CONFIDENCE-COMMERCIAL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5B60DA5" id="_x0000_t202" coordsize="21600,21600" o:spt="202" path="m,l,21600r21600,l21600,xe">
              <v:stroke joinstyle="miter"/>
              <v:path gradientshapeok="t" o:connecttype="rect"/>
            </v:shapetype>
            <v:shape id="Text Box 4" o:spid="_x0000_s1030" type="#_x0000_t202" alt="IN CONFIDENCE-COMMERCIAL" style="position:absolute;left:0;text-align:left;margin-left:0;margin-top:0;width:124.75pt;height:35.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" filled="f" stroked="f">
              <v:textbox style="mso-fit-shape-to-text:t" inset="0,0,0,15pt">
                <w:txbxContent>
                  <w:p w14:paraId="62FE3CE3" w14:textId="4E72AFFF" w:rsidR="00B4015F" w:rsidRPr="00B4015F" w:rsidRDefault="00B4015F" w:rsidP="00B4015F">
                    <w:pPr>
                      <w:spacing w:after="0"/>
                      <w:rPr>
                        <w:rFonts w:ascii="Calibri" w:eastAsia="Calibri" w:hAnsi="Calibri" w:cs="Calibri"/>
                        <w:noProof/>
                        <w:color w:val="000000"/>
                        <w:sz w:val="20"/>
                        <w:szCs w:val="20"/>
                      </w:rPr>
                    </w:pPr>
                    <w:r w:rsidRPr="00B4015F">
                      <w:rPr>
                        <w:rFonts w:ascii="Calibri" w:eastAsia="Calibri" w:hAnsi="Calibri" w:cs="Calibri"/>
                        <w:noProof/>
                        <w:color w:val="000000"/>
                        <w:sz w:val="20"/>
                        <w:szCs w:val="20"/>
                      </w:rPr>
                      <w:t>IN CONFIDENCE-COMMERCIAL</w:t>
                    </w:r>
                  </w:p>
                </w:txbxContent>
              </v:textbox>
              <w10:wrap anchorx="page" anchory="page"/>
            </v:shape>
          </w:pict>
        </mc:Fallback>
      </mc:AlternateContent>
    </w:r>
    <w:r w:rsidR="00CB4863" w:rsidRPr="000125CE">
      <w:rPr>
        <w:color w:val="595959" w:themeColor="text2" w:themeTint="A6"/>
        <w:sz w:val="18"/>
        <w:szCs w:val="18"/>
      </w:rPr>
      <w:t xml:space="preserve">Page </w:t>
    </w:r>
    <w:r w:rsidR="00CB4863" w:rsidRPr="000125CE">
      <w:rPr>
        <w:color w:val="595959" w:themeColor="text2" w:themeTint="A6"/>
        <w:sz w:val="18"/>
        <w:szCs w:val="18"/>
      </w:rPr>
      <w:fldChar w:fldCharType="begin"/>
    </w:r>
    <w:r w:rsidR="00CB4863" w:rsidRPr="000125CE">
      <w:rPr>
        <w:color w:val="595959" w:themeColor="text2" w:themeTint="A6"/>
        <w:sz w:val="18"/>
        <w:szCs w:val="18"/>
      </w:rPr>
      <w:instrText xml:space="preserve"> PAGE   \* MERGEFORMAT </w:instrText>
    </w:r>
    <w:r w:rsidR="00CB4863" w:rsidRPr="000125CE">
      <w:rPr>
        <w:color w:val="595959" w:themeColor="text2" w:themeTint="A6"/>
        <w:sz w:val="18"/>
        <w:szCs w:val="18"/>
      </w:rPr>
      <w:fldChar w:fldCharType="separate"/>
    </w:r>
    <w:r w:rsidR="00D05239">
      <w:rPr>
        <w:noProof/>
        <w:color w:val="595959" w:themeColor="text2" w:themeTint="A6"/>
        <w:sz w:val="18"/>
        <w:szCs w:val="18"/>
      </w:rPr>
      <w:t>16</w:t>
    </w:r>
    <w:r w:rsidR="00CB4863" w:rsidRPr="000125CE">
      <w:rPr>
        <w:noProof/>
        <w:color w:val="595959" w:themeColor="text2" w:themeTint="A6"/>
        <w:sz w:val="18"/>
        <w:szCs w:val="18"/>
      </w:rPr>
      <w:fldChar w:fldCharType="end"/>
    </w:r>
  </w:p>
  <w:p w14:paraId="4A724D47" w14:textId="77777777" w:rsidR="00DF3D81" w:rsidRDefault="00DF3D81" w:rsidP="0007748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4F49D" w14:textId="77777777" w:rsidR="00E4240B" w:rsidRDefault="00E4240B" w:rsidP="006514D4">
      <w:pPr>
        <w:spacing w:after="0" w:line="240" w:lineRule="auto"/>
      </w:pPr>
      <w:r>
        <w:separator/>
      </w:r>
    </w:p>
  </w:footnote>
  <w:footnote w:type="continuationSeparator" w:id="0">
    <w:p w14:paraId="17ED2C52" w14:textId="77777777" w:rsidR="00E4240B" w:rsidRDefault="00E4240B" w:rsidP="006514D4">
      <w:pPr>
        <w:spacing w:after="0" w:line="240" w:lineRule="auto"/>
      </w:pPr>
      <w:r>
        <w:continuationSeparator/>
      </w:r>
    </w:p>
  </w:footnote>
  <w:footnote w:type="continuationNotice" w:id="1">
    <w:p w14:paraId="604F8D28" w14:textId="77777777" w:rsidR="00E4240B" w:rsidRDefault="00E4240B">
      <w:pPr>
        <w:spacing w:before="0" w:after="0" w:line="240" w:lineRule="auto"/>
      </w:pPr>
    </w:p>
  </w:footnote>
  <w:footnote w:id="2">
    <w:p w14:paraId="5104333A" w14:textId="77777777" w:rsidR="00CD65BF" w:rsidRDefault="00CD65BF" w:rsidP="00CD65BF">
      <w:pPr>
        <w:pStyle w:val="FootnoteText"/>
      </w:pPr>
      <w:r>
        <w:rPr>
          <w:rStyle w:val="FootnoteReference"/>
        </w:rPr>
        <w:footnoteRef/>
      </w:r>
      <w:r>
        <w:t xml:space="preserve">  Figures projected to 1 June 2025.  </w:t>
      </w:r>
    </w:p>
  </w:footnote>
  <w:footnote w:id="3">
    <w:p w14:paraId="3C48F3DD" w14:textId="77777777" w:rsidR="00A96B54" w:rsidRDefault="00A96B54" w:rsidP="00A96B54">
      <w:pPr>
        <w:pStyle w:val="FootnoteText"/>
      </w:pPr>
      <w:r>
        <w:rPr>
          <w:rStyle w:val="FootnoteReference"/>
        </w:rPr>
        <w:footnoteRef/>
      </w:r>
      <w:r>
        <w:t xml:space="preserve"> </w:t>
      </w:r>
      <w:hyperlink r:id="rId1" w:history="1">
        <w:r w:rsidRPr="00EB743C">
          <w:rPr>
            <w:rStyle w:val="Hyperlink"/>
          </w:rPr>
          <w:t>Funding and Risk Management Statement (FRMS)</w:t>
        </w:r>
      </w:hyperlink>
    </w:p>
  </w:footnote>
  <w:footnote w:id="4">
    <w:p w14:paraId="5151A51C" w14:textId="5FDEE2AB" w:rsidR="00AA53F1" w:rsidRPr="00F73D60" w:rsidRDefault="00AA53F1">
      <w:pPr>
        <w:pStyle w:val="FootnoteText"/>
        <w:rPr>
          <w:lang w:val="en-GB"/>
        </w:rPr>
      </w:pPr>
      <w:r>
        <w:rPr>
          <w:rStyle w:val="FootnoteReference"/>
        </w:rPr>
        <w:footnoteRef/>
      </w:r>
      <w:r>
        <w:t xml:space="preserve"> </w:t>
      </w:r>
      <w:r w:rsidR="006F6F25">
        <w:rPr>
          <w:lang w:val="en-GB"/>
        </w:rPr>
        <w:t xml:space="preserve">Attritional </w:t>
      </w:r>
      <w:r w:rsidR="00F80998">
        <w:rPr>
          <w:lang w:val="en-GB"/>
        </w:rPr>
        <w:t xml:space="preserve">losses </w:t>
      </w:r>
      <w:r w:rsidR="00CA05EE">
        <w:rPr>
          <w:lang w:val="en-GB"/>
        </w:rPr>
        <w:t xml:space="preserve">refer </w:t>
      </w:r>
      <w:r w:rsidR="00604722" w:rsidRPr="00604722">
        <w:t>to the continuous, routine stream of small-to-moderate claims that occur regularly rather than from rare, catastrophic events</w:t>
      </w:r>
    </w:p>
  </w:footnote>
  <w:footnote w:id="5">
    <w:p w14:paraId="07DD299E" w14:textId="7E81EAA5" w:rsidR="00AB3FAC" w:rsidRPr="00F31666" w:rsidRDefault="00AB3FAC">
      <w:pPr>
        <w:pStyle w:val="FootnoteText"/>
      </w:pPr>
      <w:r>
        <w:rPr>
          <w:rStyle w:val="FootnoteReference"/>
        </w:rPr>
        <w:footnoteRef/>
      </w:r>
      <w:r>
        <w:t xml:space="preserve"> </w:t>
      </w:r>
      <w:r w:rsidR="00644882" w:rsidRPr="00644882">
        <w:t>Pastor-Pa</w:t>
      </w:r>
      <w:r w:rsidR="00A660D6">
        <w:t xml:space="preserve">z, Jacob et al., </w:t>
      </w:r>
      <w:r w:rsidR="00F31666">
        <w:rPr>
          <w:i/>
          <w:iCs/>
        </w:rPr>
        <w:t>Protecting the effect of climate change-induced increases in extreme rainfall on residential property damages: A case study from New Zealand</w:t>
      </w:r>
      <w:r w:rsidR="00F31666">
        <w:t xml:space="preserve">, </w:t>
      </w:r>
      <w:r w:rsidR="000B6940">
        <w:t xml:space="preserve">Motu Economic and Public Policy </w:t>
      </w:r>
      <w:r w:rsidR="001D685E">
        <w:t>Research</w:t>
      </w:r>
      <w:r w:rsidR="00BF219D">
        <w:t>,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DA1D" w14:textId="77777777" w:rsidR="00884E57" w:rsidRDefault="00884E57">
    <w:pPr>
      <w:pStyle w:val="Header"/>
    </w:pPr>
  </w:p>
  <w:p w14:paraId="14C2D227" w14:textId="77777777" w:rsidR="005361A5" w:rsidRDefault="005361A5"/>
  <w:p w14:paraId="428C610D" w14:textId="77777777" w:rsidR="000F55E6" w:rsidRDefault="000F55E6"/>
  <w:p w14:paraId="30B20FC2" w14:textId="77777777" w:rsidR="000F55E6" w:rsidRDefault="000F55E6"/>
  <w:p w14:paraId="53020091" w14:textId="77777777" w:rsidR="000F55E6" w:rsidRDefault="000F55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D1C76" w14:textId="01F5A75C" w:rsidR="002C2A31" w:rsidRPr="00017CCB" w:rsidRDefault="002C2A31" w:rsidP="002234C9">
    <w:pPr>
      <w:tabs>
        <w:tab w:val="left" w:pos="3995"/>
        <w:tab w:val="right" w:pos="6688"/>
      </w:tabs>
      <w:rPr>
        <w:color w:val="04CDBE" w:themeColor="accent4"/>
        <w:sz w:val="18"/>
        <w:szCs w:val="18"/>
      </w:rPr>
    </w:pPr>
  </w:p>
  <w:p w14:paraId="42D9B5AE" w14:textId="77777777" w:rsidR="002C2A31" w:rsidRDefault="002C2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973DE"/>
    <w:multiLevelType w:val="multilevel"/>
    <w:tmpl w:val="3DDEC356"/>
    <w:lvl w:ilvl="0">
      <w:start w:val="1"/>
      <w:numFmt w:val="decimal"/>
      <w:pStyle w:val="ListParagraph"/>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5969E6"/>
    <w:multiLevelType w:val="hybridMultilevel"/>
    <w:tmpl w:val="C3F2D6C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22C71BA"/>
    <w:multiLevelType w:val="hybridMultilevel"/>
    <w:tmpl w:val="C69A9F74"/>
    <w:lvl w:ilvl="0" w:tplc="14090001">
      <w:start w:val="1"/>
      <w:numFmt w:val="bullet"/>
      <w:lvlText w:val=""/>
      <w:lvlJc w:val="left"/>
      <w:pPr>
        <w:ind w:left="360" w:hanging="360"/>
      </w:pPr>
      <w:rPr>
        <w:rFonts w:ascii="Symbol" w:hAnsi="Symbol" w:hint="default"/>
      </w:rPr>
    </w:lvl>
    <w:lvl w:ilvl="1" w:tplc="C2E8C19E">
      <w:numFmt w:val="bullet"/>
      <w:lvlText w:val="•"/>
      <w:lvlJc w:val="left"/>
      <w:pPr>
        <w:ind w:left="1080" w:hanging="360"/>
      </w:pPr>
      <w:rPr>
        <w:rFonts w:ascii="Source Sans Pro" w:eastAsiaTheme="minorHAnsi" w:hAnsi="Source Sans Pro" w:cstheme="minorBidi"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32DD0DB2"/>
    <w:multiLevelType w:val="hybridMultilevel"/>
    <w:tmpl w:val="4046072A"/>
    <w:lvl w:ilvl="0" w:tplc="FE860226">
      <w:start w:val="1"/>
      <w:numFmt w:val="upperLetter"/>
      <w:pStyle w:val="CapLet"/>
      <w:lvlText w:val="%1."/>
      <w:lvlJc w:val="left"/>
      <w:pPr>
        <w:ind w:left="720" w:hanging="360"/>
      </w:pPr>
      <w:rPr>
        <w:rFonts w:ascii="Source Sans Pro" w:hAnsi="Source Sans Pro" w:hint="default"/>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3B335C7C"/>
    <w:multiLevelType w:val="multilevel"/>
    <w:tmpl w:val="2F86806E"/>
    <w:lvl w:ilvl="0">
      <w:start w:val="1"/>
      <w:numFmt w:val="bullet"/>
      <w:pStyle w:val="Bullet"/>
      <w:lvlText w:val=""/>
      <w:lvlJc w:val="left"/>
      <w:pPr>
        <w:ind w:left="360" w:hanging="360"/>
      </w:pPr>
      <w:rPr>
        <w:rFonts w:ascii="Symbol" w:hAnsi="Symbol" w:hint="default"/>
        <w:color w:val="052A4D" w:themeColor="accent1"/>
        <w:sz w:val="20"/>
        <w:u w:color="000000" w:themeColor="text2"/>
      </w:rPr>
    </w:lvl>
    <w:lvl w:ilvl="1">
      <w:start w:val="1"/>
      <w:numFmt w:val="bullet"/>
      <w:lvlText w:val="o"/>
      <w:lvlJc w:val="left"/>
      <w:pPr>
        <w:ind w:left="1080" w:hanging="360"/>
      </w:pPr>
      <w:rPr>
        <w:rFonts w:ascii="Calibri" w:hAnsi="Calibri" w:hint="default"/>
        <w:b/>
        <w:i w:val="0"/>
        <w:sz w:val="18"/>
        <w:u w:color="EA5939" w:themeColor="accent5"/>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4C797383"/>
    <w:multiLevelType w:val="hybridMultilevel"/>
    <w:tmpl w:val="5FDAA6D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58BB3FCD"/>
    <w:multiLevelType w:val="hybridMultilevel"/>
    <w:tmpl w:val="9DC042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AD9452C"/>
    <w:multiLevelType w:val="multilevel"/>
    <w:tmpl w:val="EC32F4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EB67AE1"/>
    <w:multiLevelType w:val="hybridMultilevel"/>
    <w:tmpl w:val="D188D1A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6F4F7D4E"/>
    <w:multiLevelType w:val="hybridMultilevel"/>
    <w:tmpl w:val="DEAE626C"/>
    <w:lvl w:ilvl="0" w:tplc="BEFC6FCA">
      <w:start w:val="1"/>
      <w:numFmt w:val="decimal"/>
      <w:pStyle w:val="TableNumb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737941072">
    <w:abstractNumId w:val="4"/>
  </w:num>
  <w:num w:numId="2" w16cid:durableId="777485394">
    <w:abstractNumId w:val="0"/>
  </w:num>
  <w:num w:numId="3" w16cid:durableId="460459014">
    <w:abstractNumId w:val="9"/>
  </w:num>
  <w:num w:numId="4" w16cid:durableId="1415201720">
    <w:abstractNumId w:val="3"/>
  </w:num>
  <w:num w:numId="5" w16cid:durableId="67004565">
    <w:abstractNumId w:val="8"/>
  </w:num>
  <w:num w:numId="6" w16cid:durableId="1253591742">
    <w:abstractNumId w:val="2"/>
  </w:num>
  <w:num w:numId="7" w16cid:durableId="30960137">
    <w:abstractNumId w:val="1"/>
  </w:num>
  <w:num w:numId="8" w16cid:durableId="167524694">
    <w:abstractNumId w:val="5"/>
  </w:num>
  <w:num w:numId="9" w16cid:durableId="1319385170">
    <w:abstractNumId w:val="6"/>
  </w:num>
  <w:num w:numId="10" w16cid:durableId="103857970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95"/>
  <w:drawingGridVerticalSpacing w:val="299"/>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36E"/>
    <w:rsid w:val="0000002F"/>
    <w:rsid w:val="00000195"/>
    <w:rsid w:val="000002EF"/>
    <w:rsid w:val="00000438"/>
    <w:rsid w:val="00000629"/>
    <w:rsid w:val="00000BD3"/>
    <w:rsid w:val="00000C13"/>
    <w:rsid w:val="0000135E"/>
    <w:rsid w:val="0000136E"/>
    <w:rsid w:val="00001774"/>
    <w:rsid w:val="0000183C"/>
    <w:rsid w:val="000018E7"/>
    <w:rsid w:val="00001B65"/>
    <w:rsid w:val="00001E9E"/>
    <w:rsid w:val="00001ECA"/>
    <w:rsid w:val="00002110"/>
    <w:rsid w:val="000022DA"/>
    <w:rsid w:val="000022FC"/>
    <w:rsid w:val="00002910"/>
    <w:rsid w:val="00002A5C"/>
    <w:rsid w:val="000038E2"/>
    <w:rsid w:val="00003C08"/>
    <w:rsid w:val="00004215"/>
    <w:rsid w:val="00004244"/>
    <w:rsid w:val="0000447C"/>
    <w:rsid w:val="00004CFC"/>
    <w:rsid w:val="00005215"/>
    <w:rsid w:val="0000568F"/>
    <w:rsid w:val="00005F9B"/>
    <w:rsid w:val="000060A1"/>
    <w:rsid w:val="000069F4"/>
    <w:rsid w:val="00006B4C"/>
    <w:rsid w:val="00006B58"/>
    <w:rsid w:val="00006BC7"/>
    <w:rsid w:val="00007496"/>
    <w:rsid w:val="00007580"/>
    <w:rsid w:val="00010434"/>
    <w:rsid w:val="000105F7"/>
    <w:rsid w:val="00010A09"/>
    <w:rsid w:val="0001148F"/>
    <w:rsid w:val="00012007"/>
    <w:rsid w:val="00012210"/>
    <w:rsid w:val="0001245E"/>
    <w:rsid w:val="000125CE"/>
    <w:rsid w:val="000129F0"/>
    <w:rsid w:val="00012C5B"/>
    <w:rsid w:val="00012D57"/>
    <w:rsid w:val="00013228"/>
    <w:rsid w:val="0001345E"/>
    <w:rsid w:val="00013557"/>
    <w:rsid w:val="00013A5F"/>
    <w:rsid w:val="0001471D"/>
    <w:rsid w:val="000147A9"/>
    <w:rsid w:val="00014938"/>
    <w:rsid w:val="00014EB6"/>
    <w:rsid w:val="00015169"/>
    <w:rsid w:val="000152CD"/>
    <w:rsid w:val="00015579"/>
    <w:rsid w:val="000155E7"/>
    <w:rsid w:val="00015BA7"/>
    <w:rsid w:val="00016408"/>
    <w:rsid w:val="00016671"/>
    <w:rsid w:val="00016DE8"/>
    <w:rsid w:val="00017003"/>
    <w:rsid w:val="000170C3"/>
    <w:rsid w:val="00017153"/>
    <w:rsid w:val="00017189"/>
    <w:rsid w:val="0001719D"/>
    <w:rsid w:val="000173D4"/>
    <w:rsid w:val="0001740E"/>
    <w:rsid w:val="0001781B"/>
    <w:rsid w:val="0001783E"/>
    <w:rsid w:val="00017CCB"/>
    <w:rsid w:val="00017FB5"/>
    <w:rsid w:val="000200F9"/>
    <w:rsid w:val="000206D2"/>
    <w:rsid w:val="00021345"/>
    <w:rsid w:val="00021350"/>
    <w:rsid w:val="0002166E"/>
    <w:rsid w:val="00021C98"/>
    <w:rsid w:val="00021FB0"/>
    <w:rsid w:val="0002239D"/>
    <w:rsid w:val="0002251A"/>
    <w:rsid w:val="00022973"/>
    <w:rsid w:val="00023058"/>
    <w:rsid w:val="000231EB"/>
    <w:rsid w:val="00023348"/>
    <w:rsid w:val="00023AF9"/>
    <w:rsid w:val="00024833"/>
    <w:rsid w:val="00025374"/>
    <w:rsid w:val="0002540B"/>
    <w:rsid w:val="00025710"/>
    <w:rsid w:val="0002588A"/>
    <w:rsid w:val="00025FF0"/>
    <w:rsid w:val="000260B1"/>
    <w:rsid w:val="00026537"/>
    <w:rsid w:val="00026573"/>
    <w:rsid w:val="000266BB"/>
    <w:rsid w:val="00026B5C"/>
    <w:rsid w:val="00026CE1"/>
    <w:rsid w:val="00026FEA"/>
    <w:rsid w:val="0002718F"/>
    <w:rsid w:val="000272A6"/>
    <w:rsid w:val="000273BF"/>
    <w:rsid w:val="0002749A"/>
    <w:rsid w:val="000307AE"/>
    <w:rsid w:val="00030904"/>
    <w:rsid w:val="0003098B"/>
    <w:rsid w:val="00030EBC"/>
    <w:rsid w:val="00030EF7"/>
    <w:rsid w:val="00031516"/>
    <w:rsid w:val="00033DA1"/>
    <w:rsid w:val="00033F91"/>
    <w:rsid w:val="00034345"/>
    <w:rsid w:val="00034D44"/>
    <w:rsid w:val="00034FB4"/>
    <w:rsid w:val="000357F1"/>
    <w:rsid w:val="000359EB"/>
    <w:rsid w:val="0003603F"/>
    <w:rsid w:val="0003610F"/>
    <w:rsid w:val="000369C4"/>
    <w:rsid w:val="00036FA8"/>
    <w:rsid w:val="00037443"/>
    <w:rsid w:val="00037E77"/>
    <w:rsid w:val="00040833"/>
    <w:rsid w:val="00040860"/>
    <w:rsid w:val="00041A25"/>
    <w:rsid w:val="0004200B"/>
    <w:rsid w:val="000421ED"/>
    <w:rsid w:val="000424CA"/>
    <w:rsid w:val="0004289E"/>
    <w:rsid w:val="00042DD2"/>
    <w:rsid w:val="00042F7E"/>
    <w:rsid w:val="0004453F"/>
    <w:rsid w:val="00044609"/>
    <w:rsid w:val="000446A8"/>
    <w:rsid w:val="00044D53"/>
    <w:rsid w:val="00045D10"/>
    <w:rsid w:val="0004608B"/>
    <w:rsid w:val="00046287"/>
    <w:rsid w:val="000462AE"/>
    <w:rsid w:val="00046412"/>
    <w:rsid w:val="00046E3F"/>
    <w:rsid w:val="000472FD"/>
    <w:rsid w:val="000479C7"/>
    <w:rsid w:val="00050978"/>
    <w:rsid w:val="00050BAF"/>
    <w:rsid w:val="0005189E"/>
    <w:rsid w:val="00053333"/>
    <w:rsid w:val="000534A6"/>
    <w:rsid w:val="00053D68"/>
    <w:rsid w:val="00053EF6"/>
    <w:rsid w:val="00054045"/>
    <w:rsid w:val="000553C4"/>
    <w:rsid w:val="00055ABE"/>
    <w:rsid w:val="00056187"/>
    <w:rsid w:val="000568E7"/>
    <w:rsid w:val="0005696F"/>
    <w:rsid w:val="00056AE4"/>
    <w:rsid w:val="00057395"/>
    <w:rsid w:val="000574ED"/>
    <w:rsid w:val="0006080C"/>
    <w:rsid w:val="00060EC3"/>
    <w:rsid w:val="000612EB"/>
    <w:rsid w:val="00061A6C"/>
    <w:rsid w:val="00061C1F"/>
    <w:rsid w:val="00062086"/>
    <w:rsid w:val="000620F6"/>
    <w:rsid w:val="000622E9"/>
    <w:rsid w:val="00062C0B"/>
    <w:rsid w:val="00062D98"/>
    <w:rsid w:val="00062E0F"/>
    <w:rsid w:val="00063220"/>
    <w:rsid w:val="000633C2"/>
    <w:rsid w:val="00063A02"/>
    <w:rsid w:val="00063C6D"/>
    <w:rsid w:val="000649A3"/>
    <w:rsid w:val="000649F4"/>
    <w:rsid w:val="00064A14"/>
    <w:rsid w:val="00064FD0"/>
    <w:rsid w:val="0006536F"/>
    <w:rsid w:val="00065696"/>
    <w:rsid w:val="00065A68"/>
    <w:rsid w:val="00065DE0"/>
    <w:rsid w:val="00066190"/>
    <w:rsid w:val="000667F0"/>
    <w:rsid w:val="00066D2A"/>
    <w:rsid w:val="00067627"/>
    <w:rsid w:val="00067E05"/>
    <w:rsid w:val="000706B2"/>
    <w:rsid w:val="00070E8C"/>
    <w:rsid w:val="0007157B"/>
    <w:rsid w:val="00071C9F"/>
    <w:rsid w:val="0007207E"/>
    <w:rsid w:val="00072186"/>
    <w:rsid w:val="000723C1"/>
    <w:rsid w:val="000724FA"/>
    <w:rsid w:val="000725CF"/>
    <w:rsid w:val="000728A1"/>
    <w:rsid w:val="00072B47"/>
    <w:rsid w:val="00073541"/>
    <w:rsid w:val="00073D84"/>
    <w:rsid w:val="000746D2"/>
    <w:rsid w:val="00074A2F"/>
    <w:rsid w:val="00074CCC"/>
    <w:rsid w:val="000750DA"/>
    <w:rsid w:val="00075501"/>
    <w:rsid w:val="0007568E"/>
    <w:rsid w:val="00075766"/>
    <w:rsid w:val="000757A5"/>
    <w:rsid w:val="000759FC"/>
    <w:rsid w:val="0007624E"/>
    <w:rsid w:val="000767CF"/>
    <w:rsid w:val="0007688B"/>
    <w:rsid w:val="00076FBF"/>
    <w:rsid w:val="00077112"/>
    <w:rsid w:val="0007748D"/>
    <w:rsid w:val="000774D7"/>
    <w:rsid w:val="00077668"/>
    <w:rsid w:val="0007768A"/>
    <w:rsid w:val="00077A91"/>
    <w:rsid w:val="00080495"/>
    <w:rsid w:val="00080DEE"/>
    <w:rsid w:val="00080EDB"/>
    <w:rsid w:val="0008120F"/>
    <w:rsid w:val="0008138D"/>
    <w:rsid w:val="00081919"/>
    <w:rsid w:val="00081AAF"/>
    <w:rsid w:val="00081BC0"/>
    <w:rsid w:val="00081C78"/>
    <w:rsid w:val="00081DC8"/>
    <w:rsid w:val="000820E5"/>
    <w:rsid w:val="000824C3"/>
    <w:rsid w:val="000824D2"/>
    <w:rsid w:val="00082FBC"/>
    <w:rsid w:val="00083FC3"/>
    <w:rsid w:val="00083FF7"/>
    <w:rsid w:val="00084162"/>
    <w:rsid w:val="000841D5"/>
    <w:rsid w:val="00084C8D"/>
    <w:rsid w:val="00084D9E"/>
    <w:rsid w:val="0008529E"/>
    <w:rsid w:val="00085542"/>
    <w:rsid w:val="000856A9"/>
    <w:rsid w:val="00085E29"/>
    <w:rsid w:val="000866A3"/>
    <w:rsid w:val="0008675B"/>
    <w:rsid w:val="00087183"/>
    <w:rsid w:val="000877C2"/>
    <w:rsid w:val="00087CB8"/>
    <w:rsid w:val="0009006F"/>
    <w:rsid w:val="0009037F"/>
    <w:rsid w:val="00090786"/>
    <w:rsid w:val="00090E40"/>
    <w:rsid w:val="00090E84"/>
    <w:rsid w:val="0009119D"/>
    <w:rsid w:val="000916A4"/>
    <w:rsid w:val="00091968"/>
    <w:rsid w:val="00091FDD"/>
    <w:rsid w:val="00092375"/>
    <w:rsid w:val="000932AE"/>
    <w:rsid w:val="00093683"/>
    <w:rsid w:val="00093A7F"/>
    <w:rsid w:val="00094304"/>
    <w:rsid w:val="0009450D"/>
    <w:rsid w:val="00094581"/>
    <w:rsid w:val="00094783"/>
    <w:rsid w:val="00094D54"/>
    <w:rsid w:val="00095A72"/>
    <w:rsid w:val="0009669F"/>
    <w:rsid w:val="00096A03"/>
    <w:rsid w:val="00096B91"/>
    <w:rsid w:val="000973DD"/>
    <w:rsid w:val="000A046A"/>
    <w:rsid w:val="000A0530"/>
    <w:rsid w:val="000A06E7"/>
    <w:rsid w:val="000A0941"/>
    <w:rsid w:val="000A1219"/>
    <w:rsid w:val="000A129B"/>
    <w:rsid w:val="000A1462"/>
    <w:rsid w:val="000A1BC5"/>
    <w:rsid w:val="000A2340"/>
    <w:rsid w:val="000A2AE4"/>
    <w:rsid w:val="000A3054"/>
    <w:rsid w:val="000A322F"/>
    <w:rsid w:val="000A37C3"/>
    <w:rsid w:val="000A3CF6"/>
    <w:rsid w:val="000A40A4"/>
    <w:rsid w:val="000A4138"/>
    <w:rsid w:val="000A41AA"/>
    <w:rsid w:val="000A4665"/>
    <w:rsid w:val="000A4875"/>
    <w:rsid w:val="000A5464"/>
    <w:rsid w:val="000A57C0"/>
    <w:rsid w:val="000A57C7"/>
    <w:rsid w:val="000A67EC"/>
    <w:rsid w:val="000A68BE"/>
    <w:rsid w:val="000A6D9F"/>
    <w:rsid w:val="000A79E3"/>
    <w:rsid w:val="000A7B41"/>
    <w:rsid w:val="000B0C6A"/>
    <w:rsid w:val="000B105F"/>
    <w:rsid w:val="000B19E1"/>
    <w:rsid w:val="000B1B09"/>
    <w:rsid w:val="000B2427"/>
    <w:rsid w:val="000B2599"/>
    <w:rsid w:val="000B2DDB"/>
    <w:rsid w:val="000B3645"/>
    <w:rsid w:val="000B38F4"/>
    <w:rsid w:val="000B399C"/>
    <w:rsid w:val="000B3A27"/>
    <w:rsid w:val="000B3B3F"/>
    <w:rsid w:val="000B48AB"/>
    <w:rsid w:val="000B49C6"/>
    <w:rsid w:val="000B4AB9"/>
    <w:rsid w:val="000B567B"/>
    <w:rsid w:val="000B57CB"/>
    <w:rsid w:val="000B59D0"/>
    <w:rsid w:val="000B5F17"/>
    <w:rsid w:val="000B6940"/>
    <w:rsid w:val="000B6A06"/>
    <w:rsid w:val="000B6C42"/>
    <w:rsid w:val="000B6FED"/>
    <w:rsid w:val="000B769A"/>
    <w:rsid w:val="000B7D1B"/>
    <w:rsid w:val="000B7FAD"/>
    <w:rsid w:val="000C1389"/>
    <w:rsid w:val="000C1893"/>
    <w:rsid w:val="000C1AC9"/>
    <w:rsid w:val="000C2231"/>
    <w:rsid w:val="000C2393"/>
    <w:rsid w:val="000C39AF"/>
    <w:rsid w:val="000C3FF0"/>
    <w:rsid w:val="000C41FF"/>
    <w:rsid w:val="000C44AC"/>
    <w:rsid w:val="000C46F6"/>
    <w:rsid w:val="000C473F"/>
    <w:rsid w:val="000C4894"/>
    <w:rsid w:val="000C594D"/>
    <w:rsid w:val="000C5A8E"/>
    <w:rsid w:val="000C6008"/>
    <w:rsid w:val="000C6145"/>
    <w:rsid w:val="000C61B7"/>
    <w:rsid w:val="000C6BA5"/>
    <w:rsid w:val="000C6C70"/>
    <w:rsid w:val="000C6F43"/>
    <w:rsid w:val="000C723E"/>
    <w:rsid w:val="000C77E6"/>
    <w:rsid w:val="000C78A9"/>
    <w:rsid w:val="000C7A61"/>
    <w:rsid w:val="000D0016"/>
    <w:rsid w:val="000D0292"/>
    <w:rsid w:val="000D0585"/>
    <w:rsid w:val="000D06E4"/>
    <w:rsid w:val="000D0A3D"/>
    <w:rsid w:val="000D0AF7"/>
    <w:rsid w:val="000D0B40"/>
    <w:rsid w:val="000D120D"/>
    <w:rsid w:val="000D14DA"/>
    <w:rsid w:val="000D1E29"/>
    <w:rsid w:val="000D201F"/>
    <w:rsid w:val="000D2734"/>
    <w:rsid w:val="000D2746"/>
    <w:rsid w:val="000D2AF5"/>
    <w:rsid w:val="000D2E8F"/>
    <w:rsid w:val="000D36E4"/>
    <w:rsid w:val="000D3809"/>
    <w:rsid w:val="000D3F32"/>
    <w:rsid w:val="000D476D"/>
    <w:rsid w:val="000D4AEB"/>
    <w:rsid w:val="000D4C12"/>
    <w:rsid w:val="000D5034"/>
    <w:rsid w:val="000D516A"/>
    <w:rsid w:val="000D5232"/>
    <w:rsid w:val="000D5E70"/>
    <w:rsid w:val="000D6309"/>
    <w:rsid w:val="000D6612"/>
    <w:rsid w:val="000D6655"/>
    <w:rsid w:val="000D69C6"/>
    <w:rsid w:val="000D6CF9"/>
    <w:rsid w:val="000D6E66"/>
    <w:rsid w:val="000D705C"/>
    <w:rsid w:val="000D747A"/>
    <w:rsid w:val="000D7753"/>
    <w:rsid w:val="000D7A64"/>
    <w:rsid w:val="000E0604"/>
    <w:rsid w:val="000E0845"/>
    <w:rsid w:val="000E1576"/>
    <w:rsid w:val="000E195D"/>
    <w:rsid w:val="000E19AC"/>
    <w:rsid w:val="000E21EF"/>
    <w:rsid w:val="000E24CE"/>
    <w:rsid w:val="000E27AA"/>
    <w:rsid w:val="000E2D66"/>
    <w:rsid w:val="000E2D8B"/>
    <w:rsid w:val="000E2DFA"/>
    <w:rsid w:val="000E2EB2"/>
    <w:rsid w:val="000E2F08"/>
    <w:rsid w:val="000E3BBE"/>
    <w:rsid w:val="000E3D78"/>
    <w:rsid w:val="000E4086"/>
    <w:rsid w:val="000E4714"/>
    <w:rsid w:val="000E4E05"/>
    <w:rsid w:val="000E58BA"/>
    <w:rsid w:val="000E5935"/>
    <w:rsid w:val="000E7865"/>
    <w:rsid w:val="000E7B07"/>
    <w:rsid w:val="000E7E5E"/>
    <w:rsid w:val="000E7E93"/>
    <w:rsid w:val="000F0044"/>
    <w:rsid w:val="000F0219"/>
    <w:rsid w:val="000F054C"/>
    <w:rsid w:val="000F0A6A"/>
    <w:rsid w:val="000F158E"/>
    <w:rsid w:val="000F15A3"/>
    <w:rsid w:val="000F28C8"/>
    <w:rsid w:val="000F29A8"/>
    <w:rsid w:val="000F2DBF"/>
    <w:rsid w:val="000F2ED2"/>
    <w:rsid w:val="000F3394"/>
    <w:rsid w:val="000F3699"/>
    <w:rsid w:val="000F3BD5"/>
    <w:rsid w:val="000F4050"/>
    <w:rsid w:val="000F4149"/>
    <w:rsid w:val="000F465C"/>
    <w:rsid w:val="000F4817"/>
    <w:rsid w:val="000F496F"/>
    <w:rsid w:val="000F4AF1"/>
    <w:rsid w:val="000F4C6D"/>
    <w:rsid w:val="000F51E7"/>
    <w:rsid w:val="000F55E6"/>
    <w:rsid w:val="000F5DB8"/>
    <w:rsid w:val="000F61EB"/>
    <w:rsid w:val="000F64C3"/>
    <w:rsid w:val="000F6563"/>
    <w:rsid w:val="000F673D"/>
    <w:rsid w:val="000F6B04"/>
    <w:rsid w:val="000F77AF"/>
    <w:rsid w:val="000F784C"/>
    <w:rsid w:val="000F7A61"/>
    <w:rsid w:val="0010031B"/>
    <w:rsid w:val="001005B1"/>
    <w:rsid w:val="001006B4"/>
    <w:rsid w:val="001006B5"/>
    <w:rsid w:val="001009DF"/>
    <w:rsid w:val="00101218"/>
    <w:rsid w:val="00101903"/>
    <w:rsid w:val="00101DB5"/>
    <w:rsid w:val="00101F6F"/>
    <w:rsid w:val="0010240C"/>
    <w:rsid w:val="00102D10"/>
    <w:rsid w:val="00103016"/>
    <w:rsid w:val="00103562"/>
    <w:rsid w:val="001048DB"/>
    <w:rsid w:val="00105147"/>
    <w:rsid w:val="001055E7"/>
    <w:rsid w:val="00105A3E"/>
    <w:rsid w:val="00105F59"/>
    <w:rsid w:val="00105FF2"/>
    <w:rsid w:val="00106250"/>
    <w:rsid w:val="001064E1"/>
    <w:rsid w:val="00106647"/>
    <w:rsid w:val="0010702E"/>
    <w:rsid w:val="00107A94"/>
    <w:rsid w:val="00107D3D"/>
    <w:rsid w:val="00107E24"/>
    <w:rsid w:val="00107EF9"/>
    <w:rsid w:val="00110635"/>
    <w:rsid w:val="00110DBC"/>
    <w:rsid w:val="0011128C"/>
    <w:rsid w:val="00111834"/>
    <w:rsid w:val="00111E92"/>
    <w:rsid w:val="001120F2"/>
    <w:rsid w:val="00112191"/>
    <w:rsid w:val="00112202"/>
    <w:rsid w:val="00112423"/>
    <w:rsid w:val="00112821"/>
    <w:rsid w:val="001129E8"/>
    <w:rsid w:val="00112A9A"/>
    <w:rsid w:val="00112CA1"/>
    <w:rsid w:val="00113263"/>
    <w:rsid w:val="00113570"/>
    <w:rsid w:val="00113595"/>
    <w:rsid w:val="00113675"/>
    <w:rsid w:val="00113689"/>
    <w:rsid w:val="00113DD0"/>
    <w:rsid w:val="001144C6"/>
    <w:rsid w:val="00114C3E"/>
    <w:rsid w:val="001159DB"/>
    <w:rsid w:val="00115AD1"/>
    <w:rsid w:val="00115CFD"/>
    <w:rsid w:val="00115D50"/>
    <w:rsid w:val="00116040"/>
    <w:rsid w:val="00117224"/>
    <w:rsid w:val="00117E0D"/>
    <w:rsid w:val="00120877"/>
    <w:rsid w:val="00120C40"/>
    <w:rsid w:val="00120E7F"/>
    <w:rsid w:val="001214A1"/>
    <w:rsid w:val="0012168D"/>
    <w:rsid w:val="001224F0"/>
    <w:rsid w:val="001224FE"/>
    <w:rsid w:val="001227C7"/>
    <w:rsid w:val="00122A33"/>
    <w:rsid w:val="001230C6"/>
    <w:rsid w:val="0012335D"/>
    <w:rsid w:val="00123833"/>
    <w:rsid w:val="001239B3"/>
    <w:rsid w:val="00123E0C"/>
    <w:rsid w:val="0012485F"/>
    <w:rsid w:val="001255A5"/>
    <w:rsid w:val="001258E8"/>
    <w:rsid w:val="00126395"/>
    <w:rsid w:val="00126646"/>
    <w:rsid w:val="00126840"/>
    <w:rsid w:val="00126FA3"/>
    <w:rsid w:val="001270BC"/>
    <w:rsid w:val="001278D0"/>
    <w:rsid w:val="00127F7B"/>
    <w:rsid w:val="00130AFB"/>
    <w:rsid w:val="00130D00"/>
    <w:rsid w:val="001311CD"/>
    <w:rsid w:val="00131411"/>
    <w:rsid w:val="001323F7"/>
    <w:rsid w:val="0013259A"/>
    <w:rsid w:val="00133DF2"/>
    <w:rsid w:val="0013497D"/>
    <w:rsid w:val="0013502A"/>
    <w:rsid w:val="0013620C"/>
    <w:rsid w:val="00136854"/>
    <w:rsid w:val="0013763B"/>
    <w:rsid w:val="001379D5"/>
    <w:rsid w:val="001405A2"/>
    <w:rsid w:val="001405EA"/>
    <w:rsid w:val="001407BA"/>
    <w:rsid w:val="00140DF0"/>
    <w:rsid w:val="001419E2"/>
    <w:rsid w:val="00141BB2"/>
    <w:rsid w:val="00141C67"/>
    <w:rsid w:val="00141CE7"/>
    <w:rsid w:val="0014226E"/>
    <w:rsid w:val="00142619"/>
    <w:rsid w:val="0014285D"/>
    <w:rsid w:val="001428CC"/>
    <w:rsid w:val="00142AD7"/>
    <w:rsid w:val="001433CF"/>
    <w:rsid w:val="00143430"/>
    <w:rsid w:val="001434A4"/>
    <w:rsid w:val="00144366"/>
    <w:rsid w:val="00144844"/>
    <w:rsid w:val="00144EF6"/>
    <w:rsid w:val="0014525C"/>
    <w:rsid w:val="001456AF"/>
    <w:rsid w:val="00145845"/>
    <w:rsid w:val="00145BF4"/>
    <w:rsid w:val="00145DEE"/>
    <w:rsid w:val="00146029"/>
    <w:rsid w:val="00146E7B"/>
    <w:rsid w:val="00146EBD"/>
    <w:rsid w:val="00146FB5"/>
    <w:rsid w:val="00147454"/>
    <w:rsid w:val="0015031E"/>
    <w:rsid w:val="00150ABE"/>
    <w:rsid w:val="00150D8C"/>
    <w:rsid w:val="0015117A"/>
    <w:rsid w:val="001512A1"/>
    <w:rsid w:val="001517DD"/>
    <w:rsid w:val="00151ACE"/>
    <w:rsid w:val="00152DFF"/>
    <w:rsid w:val="00153487"/>
    <w:rsid w:val="001538FF"/>
    <w:rsid w:val="0015440A"/>
    <w:rsid w:val="0015462E"/>
    <w:rsid w:val="001546B4"/>
    <w:rsid w:val="00154F61"/>
    <w:rsid w:val="00154F68"/>
    <w:rsid w:val="0015514D"/>
    <w:rsid w:val="0015562E"/>
    <w:rsid w:val="001558B1"/>
    <w:rsid w:val="0015591C"/>
    <w:rsid w:val="001561A4"/>
    <w:rsid w:val="00156482"/>
    <w:rsid w:val="00156523"/>
    <w:rsid w:val="00156D30"/>
    <w:rsid w:val="00156EE7"/>
    <w:rsid w:val="00156F32"/>
    <w:rsid w:val="00156F6D"/>
    <w:rsid w:val="001570E7"/>
    <w:rsid w:val="001578FE"/>
    <w:rsid w:val="00157949"/>
    <w:rsid w:val="00157A0C"/>
    <w:rsid w:val="00157C0E"/>
    <w:rsid w:val="00157CFE"/>
    <w:rsid w:val="00157FED"/>
    <w:rsid w:val="00160178"/>
    <w:rsid w:val="00160916"/>
    <w:rsid w:val="00160EE7"/>
    <w:rsid w:val="0016123D"/>
    <w:rsid w:val="001617B4"/>
    <w:rsid w:val="001619D5"/>
    <w:rsid w:val="00161C25"/>
    <w:rsid w:val="00161D42"/>
    <w:rsid w:val="00161D7E"/>
    <w:rsid w:val="00162BE6"/>
    <w:rsid w:val="0016356F"/>
    <w:rsid w:val="001636B7"/>
    <w:rsid w:val="001647AD"/>
    <w:rsid w:val="001647B0"/>
    <w:rsid w:val="00164F06"/>
    <w:rsid w:val="00165A48"/>
    <w:rsid w:val="00165F2E"/>
    <w:rsid w:val="00166373"/>
    <w:rsid w:val="00166A61"/>
    <w:rsid w:val="00166B31"/>
    <w:rsid w:val="00166EAB"/>
    <w:rsid w:val="00167093"/>
    <w:rsid w:val="001673E6"/>
    <w:rsid w:val="001677EC"/>
    <w:rsid w:val="00167A88"/>
    <w:rsid w:val="00167CB5"/>
    <w:rsid w:val="00167F8E"/>
    <w:rsid w:val="00170596"/>
    <w:rsid w:val="001706BD"/>
    <w:rsid w:val="00170954"/>
    <w:rsid w:val="00170B36"/>
    <w:rsid w:val="00170E07"/>
    <w:rsid w:val="001711A8"/>
    <w:rsid w:val="00171B23"/>
    <w:rsid w:val="00171BB0"/>
    <w:rsid w:val="00171CC5"/>
    <w:rsid w:val="0017223E"/>
    <w:rsid w:val="001722B8"/>
    <w:rsid w:val="00172483"/>
    <w:rsid w:val="00173664"/>
    <w:rsid w:val="00173791"/>
    <w:rsid w:val="001739E0"/>
    <w:rsid w:val="00173B9F"/>
    <w:rsid w:val="00173CB2"/>
    <w:rsid w:val="001743AB"/>
    <w:rsid w:val="00174895"/>
    <w:rsid w:val="00174D35"/>
    <w:rsid w:val="00174D44"/>
    <w:rsid w:val="00174E42"/>
    <w:rsid w:val="001758A7"/>
    <w:rsid w:val="00175D6D"/>
    <w:rsid w:val="00175E24"/>
    <w:rsid w:val="00176084"/>
    <w:rsid w:val="00176667"/>
    <w:rsid w:val="0017676D"/>
    <w:rsid w:val="00177526"/>
    <w:rsid w:val="001775CA"/>
    <w:rsid w:val="001776E7"/>
    <w:rsid w:val="001777B4"/>
    <w:rsid w:val="00177BC7"/>
    <w:rsid w:val="00177D7C"/>
    <w:rsid w:val="001800AD"/>
    <w:rsid w:val="00180383"/>
    <w:rsid w:val="0018099F"/>
    <w:rsid w:val="00180DA6"/>
    <w:rsid w:val="00181D11"/>
    <w:rsid w:val="00181EC8"/>
    <w:rsid w:val="00182E62"/>
    <w:rsid w:val="00183680"/>
    <w:rsid w:val="0018381F"/>
    <w:rsid w:val="00183E7A"/>
    <w:rsid w:val="0018455C"/>
    <w:rsid w:val="00184997"/>
    <w:rsid w:val="00184D1A"/>
    <w:rsid w:val="00184D95"/>
    <w:rsid w:val="00184EE7"/>
    <w:rsid w:val="00185495"/>
    <w:rsid w:val="00186058"/>
    <w:rsid w:val="0018688E"/>
    <w:rsid w:val="00186AEF"/>
    <w:rsid w:val="00186B3A"/>
    <w:rsid w:val="00186DBD"/>
    <w:rsid w:val="00186F6A"/>
    <w:rsid w:val="001876FB"/>
    <w:rsid w:val="00187927"/>
    <w:rsid w:val="00187A4F"/>
    <w:rsid w:val="00190153"/>
    <w:rsid w:val="0019047D"/>
    <w:rsid w:val="00190711"/>
    <w:rsid w:val="00190A68"/>
    <w:rsid w:val="00190D53"/>
    <w:rsid w:val="00190FD9"/>
    <w:rsid w:val="001910B0"/>
    <w:rsid w:val="001910D9"/>
    <w:rsid w:val="00191568"/>
    <w:rsid w:val="00191C54"/>
    <w:rsid w:val="00191CDB"/>
    <w:rsid w:val="00192148"/>
    <w:rsid w:val="0019259C"/>
    <w:rsid w:val="001927BC"/>
    <w:rsid w:val="00192945"/>
    <w:rsid w:val="00192CE9"/>
    <w:rsid w:val="00192EBC"/>
    <w:rsid w:val="00194476"/>
    <w:rsid w:val="00194A44"/>
    <w:rsid w:val="001950C8"/>
    <w:rsid w:val="00195232"/>
    <w:rsid w:val="00195676"/>
    <w:rsid w:val="001957ED"/>
    <w:rsid w:val="001957FB"/>
    <w:rsid w:val="00195F7E"/>
    <w:rsid w:val="00196455"/>
    <w:rsid w:val="0019653B"/>
    <w:rsid w:val="00196B7A"/>
    <w:rsid w:val="00196F8A"/>
    <w:rsid w:val="0019734E"/>
    <w:rsid w:val="00197478"/>
    <w:rsid w:val="00197DF3"/>
    <w:rsid w:val="00197EC7"/>
    <w:rsid w:val="001A0505"/>
    <w:rsid w:val="001A0566"/>
    <w:rsid w:val="001A0D44"/>
    <w:rsid w:val="001A137F"/>
    <w:rsid w:val="001A14DA"/>
    <w:rsid w:val="001A1910"/>
    <w:rsid w:val="001A20B5"/>
    <w:rsid w:val="001A23BF"/>
    <w:rsid w:val="001A26F4"/>
    <w:rsid w:val="001A2C70"/>
    <w:rsid w:val="001A38F0"/>
    <w:rsid w:val="001A3B46"/>
    <w:rsid w:val="001A3D51"/>
    <w:rsid w:val="001A40FF"/>
    <w:rsid w:val="001A4503"/>
    <w:rsid w:val="001A459A"/>
    <w:rsid w:val="001A47B9"/>
    <w:rsid w:val="001A4F63"/>
    <w:rsid w:val="001A4FEC"/>
    <w:rsid w:val="001A51D2"/>
    <w:rsid w:val="001A549A"/>
    <w:rsid w:val="001A5B05"/>
    <w:rsid w:val="001A703F"/>
    <w:rsid w:val="001A7611"/>
    <w:rsid w:val="001A78BD"/>
    <w:rsid w:val="001A7A4E"/>
    <w:rsid w:val="001B0151"/>
    <w:rsid w:val="001B0351"/>
    <w:rsid w:val="001B03FA"/>
    <w:rsid w:val="001B12C1"/>
    <w:rsid w:val="001B12FD"/>
    <w:rsid w:val="001B1C01"/>
    <w:rsid w:val="001B2365"/>
    <w:rsid w:val="001B2774"/>
    <w:rsid w:val="001B28AD"/>
    <w:rsid w:val="001B2ABC"/>
    <w:rsid w:val="001B2B93"/>
    <w:rsid w:val="001B354B"/>
    <w:rsid w:val="001B3685"/>
    <w:rsid w:val="001B3BAF"/>
    <w:rsid w:val="001B47FA"/>
    <w:rsid w:val="001B492B"/>
    <w:rsid w:val="001B4FA8"/>
    <w:rsid w:val="001B5374"/>
    <w:rsid w:val="001B5776"/>
    <w:rsid w:val="001B5C8B"/>
    <w:rsid w:val="001B5E6F"/>
    <w:rsid w:val="001B640B"/>
    <w:rsid w:val="001B6541"/>
    <w:rsid w:val="001B6DB9"/>
    <w:rsid w:val="001B7057"/>
    <w:rsid w:val="001B77E3"/>
    <w:rsid w:val="001C0501"/>
    <w:rsid w:val="001C0E25"/>
    <w:rsid w:val="001C1213"/>
    <w:rsid w:val="001C195F"/>
    <w:rsid w:val="001C1BFD"/>
    <w:rsid w:val="001C1F72"/>
    <w:rsid w:val="001C219F"/>
    <w:rsid w:val="001C2F2D"/>
    <w:rsid w:val="001C3009"/>
    <w:rsid w:val="001C307B"/>
    <w:rsid w:val="001C39AB"/>
    <w:rsid w:val="001C3B17"/>
    <w:rsid w:val="001C3D93"/>
    <w:rsid w:val="001C4349"/>
    <w:rsid w:val="001C4677"/>
    <w:rsid w:val="001C4B37"/>
    <w:rsid w:val="001C4C02"/>
    <w:rsid w:val="001C5283"/>
    <w:rsid w:val="001C5A35"/>
    <w:rsid w:val="001C5AD0"/>
    <w:rsid w:val="001C5E66"/>
    <w:rsid w:val="001C60EB"/>
    <w:rsid w:val="001C650A"/>
    <w:rsid w:val="001C65CC"/>
    <w:rsid w:val="001C6ADB"/>
    <w:rsid w:val="001C759A"/>
    <w:rsid w:val="001C78E0"/>
    <w:rsid w:val="001C7E93"/>
    <w:rsid w:val="001D008D"/>
    <w:rsid w:val="001D0421"/>
    <w:rsid w:val="001D0722"/>
    <w:rsid w:val="001D07B5"/>
    <w:rsid w:val="001D0949"/>
    <w:rsid w:val="001D0B9A"/>
    <w:rsid w:val="001D0CB5"/>
    <w:rsid w:val="001D231E"/>
    <w:rsid w:val="001D2324"/>
    <w:rsid w:val="001D23B0"/>
    <w:rsid w:val="001D295D"/>
    <w:rsid w:val="001D2C7C"/>
    <w:rsid w:val="001D2F7B"/>
    <w:rsid w:val="001D4088"/>
    <w:rsid w:val="001D4A75"/>
    <w:rsid w:val="001D4C3A"/>
    <w:rsid w:val="001D636F"/>
    <w:rsid w:val="001D685E"/>
    <w:rsid w:val="001D68DA"/>
    <w:rsid w:val="001D68EE"/>
    <w:rsid w:val="001D6CE3"/>
    <w:rsid w:val="001D6D18"/>
    <w:rsid w:val="001D6E78"/>
    <w:rsid w:val="001D6EF8"/>
    <w:rsid w:val="001D767F"/>
    <w:rsid w:val="001D77F7"/>
    <w:rsid w:val="001D7D61"/>
    <w:rsid w:val="001E0477"/>
    <w:rsid w:val="001E04EB"/>
    <w:rsid w:val="001E072D"/>
    <w:rsid w:val="001E0C05"/>
    <w:rsid w:val="001E1CA9"/>
    <w:rsid w:val="001E1E86"/>
    <w:rsid w:val="001E1ED5"/>
    <w:rsid w:val="001E1F26"/>
    <w:rsid w:val="001E22C7"/>
    <w:rsid w:val="001E2DE3"/>
    <w:rsid w:val="001E3039"/>
    <w:rsid w:val="001E32AC"/>
    <w:rsid w:val="001E3405"/>
    <w:rsid w:val="001E35A6"/>
    <w:rsid w:val="001E3700"/>
    <w:rsid w:val="001E374F"/>
    <w:rsid w:val="001E37A7"/>
    <w:rsid w:val="001E3872"/>
    <w:rsid w:val="001E3CE7"/>
    <w:rsid w:val="001E3CF4"/>
    <w:rsid w:val="001E3F21"/>
    <w:rsid w:val="001E4007"/>
    <w:rsid w:val="001E410E"/>
    <w:rsid w:val="001E4679"/>
    <w:rsid w:val="001E5091"/>
    <w:rsid w:val="001E51ED"/>
    <w:rsid w:val="001E54E5"/>
    <w:rsid w:val="001E5952"/>
    <w:rsid w:val="001E5A44"/>
    <w:rsid w:val="001E5BF1"/>
    <w:rsid w:val="001E5EA4"/>
    <w:rsid w:val="001E6179"/>
    <w:rsid w:val="001E717F"/>
    <w:rsid w:val="001E74EF"/>
    <w:rsid w:val="001E7535"/>
    <w:rsid w:val="001E764D"/>
    <w:rsid w:val="001E79FE"/>
    <w:rsid w:val="001F06C5"/>
    <w:rsid w:val="001F13F2"/>
    <w:rsid w:val="001F14EB"/>
    <w:rsid w:val="001F183E"/>
    <w:rsid w:val="001F21CE"/>
    <w:rsid w:val="001F226D"/>
    <w:rsid w:val="001F2280"/>
    <w:rsid w:val="001F245A"/>
    <w:rsid w:val="001F2592"/>
    <w:rsid w:val="001F2C5D"/>
    <w:rsid w:val="001F313F"/>
    <w:rsid w:val="001F378E"/>
    <w:rsid w:val="001F392A"/>
    <w:rsid w:val="001F43DE"/>
    <w:rsid w:val="001F44EB"/>
    <w:rsid w:val="001F4CC7"/>
    <w:rsid w:val="001F5635"/>
    <w:rsid w:val="001F595C"/>
    <w:rsid w:val="001F5A37"/>
    <w:rsid w:val="001F5B58"/>
    <w:rsid w:val="001F6554"/>
    <w:rsid w:val="001F69B6"/>
    <w:rsid w:val="001F6C47"/>
    <w:rsid w:val="001F795B"/>
    <w:rsid w:val="002003E0"/>
    <w:rsid w:val="0020055D"/>
    <w:rsid w:val="00200D2C"/>
    <w:rsid w:val="00200E3B"/>
    <w:rsid w:val="002014BB"/>
    <w:rsid w:val="00201675"/>
    <w:rsid w:val="00202204"/>
    <w:rsid w:val="00202FF2"/>
    <w:rsid w:val="002033EB"/>
    <w:rsid w:val="0020353B"/>
    <w:rsid w:val="00203C7E"/>
    <w:rsid w:val="00204044"/>
    <w:rsid w:val="00204585"/>
    <w:rsid w:val="002049C3"/>
    <w:rsid w:val="002049ED"/>
    <w:rsid w:val="00204A41"/>
    <w:rsid w:val="00205A89"/>
    <w:rsid w:val="002061F2"/>
    <w:rsid w:val="00207545"/>
    <w:rsid w:val="00207DCC"/>
    <w:rsid w:val="00210384"/>
    <w:rsid w:val="002105C7"/>
    <w:rsid w:val="0021074D"/>
    <w:rsid w:val="002111FF"/>
    <w:rsid w:val="002112A0"/>
    <w:rsid w:val="00211B4C"/>
    <w:rsid w:val="00211CE5"/>
    <w:rsid w:val="002125F7"/>
    <w:rsid w:val="00212D22"/>
    <w:rsid w:val="00213170"/>
    <w:rsid w:val="002133A3"/>
    <w:rsid w:val="00213443"/>
    <w:rsid w:val="00213CC7"/>
    <w:rsid w:val="00214A70"/>
    <w:rsid w:val="00214CB5"/>
    <w:rsid w:val="002153FF"/>
    <w:rsid w:val="00215B90"/>
    <w:rsid w:val="00215CAE"/>
    <w:rsid w:val="00215D15"/>
    <w:rsid w:val="00215E2F"/>
    <w:rsid w:val="0021622E"/>
    <w:rsid w:val="002163A5"/>
    <w:rsid w:val="002164FD"/>
    <w:rsid w:val="002166A2"/>
    <w:rsid w:val="002167E8"/>
    <w:rsid w:val="00216B9F"/>
    <w:rsid w:val="00217457"/>
    <w:rsid w:val="002178E1"/>
    <w:rsid w:val="002178E5"/>
    <w:rsid w:val="00217F73"/>
    <w:rsid w:val="002207A1"/>
    <w:rsid w:val="00220C67"/>
    <w:rsid w:val="002210F2"/>
    <w:rsid w:val="002211D1"/>
    <w:rsid w:val="002211DC"/>
    <w:rsid w:val="00221C45"/>
    <w:rsid w:val="00222171"/>
    <w:rsid w:val="00222251"/>
    <w:rsid w:val="00223319"/>
    <w:rsid w:val="002234C9"/>
    <w:rsid w:val="00223ACE"/>
    <w:rsid w:val="00224071"/>
    <w:rsid w:val="00224116"/>
    <w:rsid w:val="002241DF"/>
    <w:rsid w:val="002244EA"/>
    <w:rsid w:val="0022479C"/>
    <w:rsid w:val="002248FC"/>
    <w:rsid w:val="00224C05"/>
    <w:rsid w:val="00224D65"/>
    <w:rsid w:val="00224F58"/>
    <w:rsid w:val="00225404"/>
    <w:rsid w:val="00225687"/>
    <w:rsid w:val="00225983"/>
    <w:rsid w:val="002262DF"/>
    <w:rsid w:val="00226596"/>
    <w:rsid w:val="0022708E"/>
    <w:rsid w:val="00227175"/>
    <w:rsid w:val="00227386"/>
    <w:rsid w:val="00227D1E"/>
    <w:rsid w:val="00230126"/>
    <w:rsid w:val="002301A1"/>
    <w:rsid w:val="002301A2"/>
    <w:rsid w:val="0023059C"/>
    <w:rsid w:val="00230C9B"/>
    <w:rsid w:val="00230D96"/>
    <w:rsid w:val="00231581"/>
    <w:rsid w:val="00231D70"/>
    <w:rsid w:val="0023212B"/>
    <w:rsid w:val="00232151"/>
    <w:rsid w:val="00232B00"/>
    <w:rsid w:val="00232D65"/>
    <w:rsid w:val="00233412"/>
    <w:rsid w:val="00233A08"/>
    <w:rsid w:val="00233A7D"/>
    <w:rsid w:val="00233DFB"/>
    <w:rsid w:val="00233EB6"/>
    <w:rsid w:val="00233ED1"/>
    <w:rsid w:val="00233F8E"/>
    <w:rsid w:val="0023590E"/>
    <w:rsid w:val="002359C3"/>
    <w:rsid w:val="00236C98"/>
    <w:rsid w:val="00237262"/>
    <w:rsid w:val="002374BB"/>
    <w:rsid w:val="00237978"/>
    <w:rsid w:val="00237B1F"/>
    <w:rsid w:val="00240A5B"/>
    <w:rsid w:val="00240ACF"/>
    <w:rsid w:val="00240C7F"/>
    <w:rsid w:val="0024106F"/>
    <w:rsid w:val="00241553"/>
    <w:rsid w:val="00241736"/>
    <w:rsid w:val="00241AF2"/>
    <w:rsid w:val="0024247E"/>
    <w:rsid w:val="00242CE3"/>
    <w:rsid w:val="0024317F"/>
    <w:rsid w:val="00243441"/>
    <w:rsid w:val="00243D89"/>
    <w:rsid w:val="0024422A"/>
    <w:rsid w:val="002444E2"/>
    <w:rsid w:val="002450FA"/>
    <w:rsid w:val="0024529A"/>
    <w:rsid w:val="002458E7"/>
    <w:rsid w:val="00245983"/>
    <w:rsid w:val="00245B4C"/>
    <w:rsid w:val="00245B95"/>
    <w:rsid w:val="00246298"/>
    <w:rsid w:val="00246A15"/>
    <w:rsid w:val="00246C41"/>
    <w:rsid w:val="00246E43"/>
    <w:rsid w:val="002473CB"/>
    <w:rsid w:val="00247508"/>
    <w:rsid w:val="00247532"/>
    <w:rsid w:val="00247796"/>
    <w:rsid w:val="00247CEB"/>
    <w:rsid w:val="00247E73"/>
    <w:rsid w:val="00247F7F"/>
    <w:rsid w:val="0025017E"/>
    <w:rsid w:val="00250D42"/>
    <w:rsid w:val="00250FCB"/>
    <w:rsid w:val="00251125"/>
    <w:rsid w:val="00251FE8"/>
    <w:rsid w:val="00252029"/>
    <w:rsid w:val="002520DE"/>
    <w:rsid w:val="0025223D"/>
    <w:rsid w:val="002526DF"/>
    <w:rsid w:val="00252770"/>
    <w:rsid w:val="00252838"/>
    <w:rsid w:val="0025322B"/>
    <w:rsid w:val="00253931"/>
    <w:rsid w:val="00253B31"/>
    <w:rsid w:val="00253C06"/>
    <w:rsid w:val="00253C1D"/>
    <w:rsid w:val="00254899"/>
    <w:rsid w:val="002549A1"/>
    <w:rsid w:val="00254AA9"/>
    <w:rsid w:val="00254FAD"/>
    <w:rsid w:val="00255080"/>
    <w:rsid w:val="00255318"/>
    <w:rsid w:val="00255396"/>
    <w:rsid w:val="00255D26"/>
    <w:rsid w:val="00255E7A"/>
    <w:rsid w:val="002562CE"/>
    <w:rsid w:val="002568A0"/>
    <w:rsid w:val="002568DC"/>
    <w:rsid w:val="00256DAB"/>
    <w:rsid w:val="00256F26"/>
    <w:rsid w:val="00257165"/>
    <w:rsid w:val="0025758C"/>
    <w:rsid w:val="002576D6"/>
    <w:rsid w:val="00257C8A"/>
    <w:rsid w:val="00257E06"/>
    <w:rsid w:val="00257F88"/>
    <w:rsid w:val="002600A2"/>
    <w:rsid w:val="00260112"/>
    <w:rsid w:val="00260345"/>
    <w:rsid w:val="0026140B"/>
    <w:rsid w:val="002616D4"/>
    <w:rsid w:val="00261943"/>
    <w:rsid w:val="00261C47"/>
    <w:rsid w:val="00261DBC"/>
    <w:rsid w:val="0026229C"/>
    <w:rsid w:val="00263063"/>
    <w:rsid w:val="00263864"/>
    <w:rsid w:val="00263B6C"/>
    <w:rsid w:val="002641C8"/>
    <w:rsid w:val="00264295"/>
    <w:rsid w:val="002646B3"/>
    <w:rsid w:val="00264FCB"/>
    <w:rsid w:val="002653A5"/>
    <w:rsid w:val="002653E2"/>
    <w:rsid w:val="0026605A"/>
    <w:rsid w:val="0026660A"/>
    <w:rsid w:val="00266B80"/>
    <w:rsid w:val="00266C43"/>
    <w:rsid w:val="00267207"/>
    <w:rsid w:val="0027105E"/>
    <w:rsid w:val="002712D7"/>
    <w:rsid w:val="0027158A"/>
    <w:rsid w:val="00271A10"/>
    <w:rsid w:val="00272090"/>
    <w:rsid w:val="00272208"/>
    <w:rsid w:val="00272489"/>
    <w:rsid w:val="0027255C"/>
    <w:rsid w:val="00273016"/>
    <w:rsid w:val="002731A6"/>
    <w:rsid w:val="0027384F"/>
    <w:rsid w:val="00274491"/>
    <w:rsid w:val="002744BD"/>
    <w:rsid w:val="00274875"/>
    <w:rsid w:val="00274B59"/>
    <w:rsid w:val="00274C92"/>
    <w:rsid w:val="00274E5D"/>
    <w:rsid w:val="00275458"/>
    <w:rsid w:val="00275B00"/>
    <w:rsid w:val="00275CA0"/>
    <w:rsid w:val="002765AD"/>
    <w:rsid w:val="00276F42"/>
    <w:rsid w:val="00277775"/>
    <w:rsid w:val="00280449"/>
    <w:rsid w:val="00280836"/>
    <w:rsid w:val="00281442"/>
    <w:rsid w:val="00281519"/>
    <w:rsid w:val="00281647"/>
    <w:rsid w:val="00281A66"/>
    <w:rsid w:val="00281FA3"/>
    <w:rsid w:val="00282F27"/>
    <w:rsid w:val="00282FEF"/>
    <w:rsid w:val="002838A9"/>
    <w:rsid w:val="0028484E"/>
    <w:rsid w:val="002849A0"/>
    <w:rsid w:val="00284C11"/>
    <w:rsid w:val="00284E5D"/>
    <w:rsid w:val="00284F67"/>
    <w:rsid w:val="002852A8"/>
    <w:rsid w:val="002852CF"/>
    <w:rsid w:val="002855F2"/>
    <w:rsid w:val="00285CAC"/>
    <w:rsid w:val="002861F2"/>
    <w:rsid w:val="00286487"/>
    <w:rsid w:val="00286742"/>
    <w:rsid w:val="00286812"/>
    <w:rsid w:val="0028698B"/>
    <w:rsid w:val="00286C9D"/>
    <w:rsid w:val="00287586"/>
    <w:rsid w:val="002877E4"/>
    <w:rsid w:val="00290131"/>
    <w:rsid w:val="00290425"/>
    <w:rsid w:val="00290E11"/>
    <w:rsid w:val="0029135A"/>
    <w:rsid w:val="002917C2"/>
    <w:rsid w:val="00291D62"/>
    <w:rsid w:val="00292456"/>
    <w:rsid w:val="0029262F"/>
    <w:rsid w:val="0029286F"/>
    <w:rsid w:val="00292A72"/>
    <w:rsid w:val="00292CFD"/>
    <w:rsid w:val="00292EFF"/>
    <w:rsid w:val="00293677"/>
    <w:rsid w:val="00293A43"/>
    <w:rsid w:val="00293D49"/>
    <w:rsid w:val="00294134"/>
    <w:rsid w:val="0029418A"/>
    <w:rsid w:val="00294B1C"/>
    <w:rsid w:val="00295481"/>
    <w:rsid w:val="00295717"/>
    <w:rsid w:val="002958A6"/>
    <w:rsid w:val="00295CF9"/>
    <w:rsid w:val="00296537"/>
    <w:rsid w:val="00296C68"/>
    <w:rsid w:val="002A0452"/>
    <w:rsid w:val="002A081F"/>
    <w:rsid w:val="002A12BB"/>
    <w:rsid w:val="002A1343"/>
    <w:rsid w:val="002A156F"/>
    <w:rsid w:val="002A16A0"/>
    <w:rsid w:val="002A2365"/>
    <w:rsid w:val="002A2534"/>
    <w:rsid w:val="002A2655"/>
    <w:rsid w:val="002A306B"/>
    <w:rsid w:val="002A3872"/>
    <w:rsid w:val="002A38D6"/>
    <w:rsid w:val="002A3AD2"/>
    <w:rsid w:val="002A3BFC"/>
    <w:rsid w:val="002A4C93"/>
    <w:rsid w:val="002A50F9"/>
    <w:rsid w:val="002A56B6"/>
    <w:rsid w:val="002A56F1"/>
    <w:rsid w:val="002A627A"/>
    <w:rsid w:val="002A62F6"/>
    <w:rsid w:val="002A6BE9"/>
    <w:rsid w:val="002A72C1"/>
    <w:rsid w:val="002A7A57"/>
    <w:rsid w:val="002A7B3C"/>
    <w:rsid w:val="002A7B3E"/>
    <w:rsid w:val="002B0102"/>
    <w:rsid w:val="002B0451"/>
    <w:rsid w:val="002B04C9"/>
    <w:rsid w:val="002B0862"/>
    <w:rsid w:val="002B0A39"/>
    <w:rsid w:val="002B0A9A"/>
    <w:rsid w:val="002B0AC3"/>
    <w:rsid w:val="002B1152"/>
    <w:rsid w:val="002B142E"/>
    <w:rsid w:val="002B1B4E"/>
    <w:rsid w:val="002B1D99"/>
    <w:rsid w:val="002B1FB1"/>
    <w:rsid w:val="002B1FFE"/>
    <w:rsid w:val="002B32AE"/>
    <w:rsid w:val="002B33FB"/>
    <w:rsid w:val="002B3504"/>
    <w:rsid w:val="002B398E"/>
    <w:rsid w:val="002B3A48"/>
    <w:rsid w:val="002B3AB3"/>
    <w:rsid w:val="002B40B2"/>
    <w:rsid w:val="002B40E3"/>
    <w:rsid w:val="002B414E"/>
    <w:rsid w:val="002B50DB"/>
    <w:rsid w:val="002B51FE"/>
    <w:rsid w:val="002B5594"/>
    <w:rsid w:val="002B584E"/>
    <w:rsid w:val="002B586C"/>
    <w:rsid w:val="002B595F"/>
    <w:rsid w:val="002B5BFF"/>
    <w:rsid w:val="002B5DD0"/>
    <w:rsid w:val="002B6325"/>
    <w:rsid w:val="002B63CB"/>
    <w:rsid w:val="002B6ED0"/>
    <w:rsid w:val="002B7468"/>
    <w:rsid w:val="002C1221"/>
    <w:rsid w:val="002C1B4D"/>
    <w:rsid w:val="002C1C69"/>
    <w:rsid w:val="002C20E8"/>
    <w:rsid w:val="002C2171"/>
    <w:rsid w:val="002C225D"/>
    <w:rsid w:val="002C23F3"/>
    <w:rsid w:val="002C2A31"/>
    <w:rsid w:val="002C2EAE"/>
    <w:rsid w:val="002C38FB"/>
    <w:rsid w:val="002C3C12"/>
    <w:rsid w:val="002C409E"/>
    <w:rsid w:val="002C41C1"/>
    <w:rsid w:val="002C472E"/>
    <w:rsid w:val="002C4876"/>
    <w:rsid w:val="002C48E9"/>
    <w:rsid w:val="002C4F6A"/>
    <w:rsid w:val="002C515C"/>
    <w:rsid w:val="002C5170"/>
    <w:rsid w:val="002C586A"/>
    <w:rsid w:val="002C6C98"/>
    <w:rsid w:val="002C74FE"/>
    <w:rsid w:val="002C791A"/>
    <w:rsid w:val="002C7A57"/>
    <w:rsid w:val="002C7B7F"/>
    <w:rsid w:val="002C7CAD"/>
    <w:rsid w:val="002D035D"/>
    <w:rsid w:val="002D05CE"/>
    <w:rsid w:val="002D078C"/>
    <w:rsid w:val="002D0D9D"/>
    <w:rsid w:val="002D17B6"/>
    <w:rsid w:val="002D1B68"/>
    <w:rsid w:val="002D1C30"/>
    <w:rsid w:val="002D1CE9"/>
    <w:rsid w:val="002D1D85"/>
    <w:rsid w:val="002D1E25"/>
    <w:rsid w:val="002D1F9B"/>
    <w:rsid w:val="002D2063"/>
    <w:rsid w:val="002D2910"/>
    <w:rsid w:val="002D29CF"/>
    <w:rsid w:val="002D2FB0"/>
    <w:rsid w:val="002D2FE8"/>
    <w:rsid w:val="002D47C7"/>
    <w:rsid w:val="002D488B"/>
    <w:rsid w:val="002D4DB2"/>
    <w:rsid w:val="002D4EA3"/>
    <w:rsid w:val="002D5075"/>
    <w:rsid w:val="002D5213"/>
    <w:rsid w:val="002D5E13"/>
    <w:rsid w:val="002D616F"/>
    <w:rsid w:val="002D6763"/>
    <w:rsid w:val="002D68A1"/>
    <w:rsid w:val="002D693E"/>
    <w:rsid w:val="002D6DA1"/>
    <w:rsid w:val="002D6E9E"/>
    <w:rsid w:val="002D6F42"/>
    <w:rsid w:val="002D73BA"/>
    <w:rsid w:val="002D7A95"/>
    <w:rsid w:val="002E0394"/>
    <w:rsid w:val="002E0A28"/>
    <w:rsid w:val="002E0A76"/>
    <w:rsid w:val="002E0EF4"/>
    <w:rsid w:val="002E143D"/>
    <w:rsid w:val="002E1556"/>
    <w:rsid w:val="002E16B9"/>
    <w:rsid w:val="002E1811"/>
    <w:rsid w:val="002E1FE2"/>
    <w:rsid w:val="002E2B2D"/>
    <w:rsid w:val="002E3253"/>
    <w:rsid w:val="002E33F3"/>
    <w:rsid w:val="002E370B"/>
    <w:rsid w:val="002E38E6"/>
    <w:rsid w:val="002E3BB9"/>
    <w:rsid w:val="002E417A"/>
    <w:rsid w:val="002E4B32"/>
    <w:rsid w:val="002E4EA4"/>
    <w:rsid w:val="002E53C4"/>
    <w:rsid w:val="002E5402"/>
    <w:rsid w:val="002E5E78"/>
    <w:rsid w:val="002E6504"/>
    <w:rsid w:val="002E66EA"/>
    <w:rsid w:val="002E7376"/>
    <w:rsid w:val="002E7AAC"/>
    <w:rsid w:val="002E7B52"/>
    <w:rsid w:val="002E7E1D"/>
    <w:rsid w:val="002F0A7C"/>
    <w:rsid w:val="002F0BB5"/>
    <w:rsid w:val="002F13C4"/>
    <w:rsid w:val="002F14AC"/>
    <w:rsid w:val="002F14DA"/>
    <w:rsid w:val="002F1879"/>
    <w:rsid w:val="002F195D"/>
    <w:rsid w:val="002F2057"/>
    <w:rsid w:val="002F218C"/>
    <w:rsid w:val="002F231B"/>
    <w:rsid w:val="002F2F3F"/>
    <w:rsid w:val="002F3101"/>
    <w:rsid w:val="002F3CE4"/>
    <w:rsid w:val="002F4027"/>
    <w:rsid w:val="002F4174"/>
    <w:rsid w:val="002F43B1"/>
    <w:rsid w:val="002F4509"/>
    <w:rsid w:val="002F4890"/>
    <w:rsid w:val="002F4A55"/>
    <w:rsid w:val="002F55F5"/>
    <w:rsid w:val="002F5CF1"/>
    <w:rsid w:val="002F6B7C"/>
    <w:rsid w:val="002F6E3E"/>
    <w:rsid w:val="002F6E79"/>
    <w:rsid w:val="002F6EF4"/>
    <w:rsid w:val="002F72B0"/>
    <w:rsid w:val="002F7781"/>
    <w:rsid w:val="002F7852"/>
    <w:rsid w:val="002F7DA7"/>
    <w:rsid w:val="002F7E90"/>
    <w:rsid w:val="002F7F0D"/>
    <w:rsid w:val="0030068F"/>
    <w:rsid w:val="0030081D"/>
    <w:rsid w:val="00300BCF"/>
    <w:rsid w:val="00301C69"/>
    <w:rsid w:val="003027E6"/>
    <w:rsid w:val="00302905"/>
    <w:rsid w:val="00302A0C"/>
    <w:rsid w:val="00302B57"/>
    <w:rsid w:val="00302DFF"/>
    <w:rsid w:val="00303667"/>
    <w:rsid w:val="0030374E"/>
    <w:rsid w:val="003049E8"/>
    <w:rsid w:val="00304DD2"/>
    <w:rsid w:val="00304E67"/>
    <w:rsid w:val="00304F79"/>
    <w:rsid w:val="0030543F"/>
    <w:rsid w:val="00305691"/>
    <w:rsid w:val="00305911"/>
    <w:rsid w:val="00305E6D"/>
    <w:rsid w:val="003105E2"/>
    <w:rsid w:val="00310860"/>
    <w:rsid w:val="003109F7"/>
    <w:rsid w:val="00310D8E"/>
    <w:rsid w:val="00311544"/>
    <w:rsid w:val="00311872"/>
    <w:rsid w:val="003118DF"/>
    <w:rsid w:val="00311BFB"/>
    <w:rsid w:val="00311DE9"/>
    <w:rsid w:val="00312326"/>
    <w:rsid w:val="00312C47"/>
    <w:rsid w:val="00312CF7"/>
    <w:rsid w:val="00312D39"/>
    <w:rsid w:val="00313C7B"/>
    <w:rsid w:val="00313C86"/>
    <w:rsid w:val="00313DD7"/>
    <w:rsid w:val="00313DF9"/>
    <w:rsid w:val="00314037"/>
    <w:rsid w:val="003142CB"/>
    <w:rsid w:val="0031496A"/>
    <w:rsid w:val="00314D9B"/>
    <w:rsid w:val="00314E62"/>
    <w:rsid w:val="003154B5"/>
    <w:rsid w:val="00315DBA"/>
    <w:rsid w:val="003172E5"/>
    <w:rsid w:val="00317495"/>
    <w:rsid w:val="00317A78"/>
    <w:rsid w:val="00317C94"/>
    <w:rsid w:val="00320006"/>
    <w:rsid w:val="003200ED"/>
    <w:rsid w:val="00320626"/>
    <w:rsid w:val="00321314"/>
    <w:rsid w:val="003214B7"/>
    <w:rsid w:val="003216D6"/>
    <w:rsid w:val="00321AA7"/>
    <w:rsid w:val="00322345"/>
    <w:rsid w:val="003224C0"/>
    <w:rsid w:val="00322DD3"/>
    <w:rsid w:val="00322DE8"/>
    <w:rsid w:val="00322F89"/>
    <w:rsid w:val="0032323C"/>
    <w:rsid w:val="00323602"/>
    <w:rsid w:val="00323ADD"/>
    <w:rsid w:val="003242CE"/>
    <w:rsid w:val="00324782"/>
    <w:rsid w:val="00324810"/>
    <w:rsid w:val="0032497F"/>
    <w:rsid w:val="003255D7"/>
    <w:rsid w:val="003255E2"/>
    <w:rsid w:val="00325AF5"/>
    <w:rsid w:val="00326291"/>
    <w:rsid w:val="00326A0D"/>
    <w:rsid w:val="00326C3A"/>
    <w:rsid w:val="003270A7"/>
    <w:rsid w:val="00327BC0"/>
    <w:rsid w:val="00327FA2"/>
    <w:rsid w:val="0033026F"/>
    <w:rsid w:val="00330583"/>
    <w:rsid w:val="003306E1"/>
    <w:rsid w:val="0033140E"/>
    <w:rsid w:val="00331733"/>
    <w:rsid w:val="00331E80"/>
    <w:rsid w:val="00332C85"/>
    <w:rsid w:val="00332D89"/>
    <w:rsid w:val="00333834"/>
    <w:rsid w:val="00333C53"/>
    <w:rsid w:val="00333F66"/>
    <w:rsid w:val="00334101"/>
    <w:rsid w:val="003341A0"/>
    <w:rsid w:val="003346D3"/>
    <w:rsid w:val="0033515E"/>
    <w:rsid w:val="0033557A"/>
    <w:rsid w:val="0033564B"/>
    <w:rsid w:val="00335A24"/>
    <w:rsid w:val="00335ED1"/>
    <w:rsid w:val="00336740"/>
    <w:rsid w:val="003369C9"/>
    <w:rsid w:val="00336A38"/>
    <w:rsid w:val="0033755C"/>
    <w:rsid w:val="00340387"/>
    <w:rsid w:val="003416C9"/>
    <w:rsid w:val="00341BCA"/>
    <w:rsid w:val="0034229F"/>
    <w:rsid w:val="00342A40"/>
    <w:rsid w:val="00342D25"/>
    <w:rsid w:val="00343083"/>
    <w:rsid w:val="003432B7"/>
    <w:rsid w:val="00343305"/>
    <w:rsid w:val="0034361C"/>
    <w:rsid w:val="00343C6F"/>
    <w:rsid w:val="00343D52"/>
    <w:rsid w:val="003440F1"/>
    <w:rsid w:val="00344D69"/>
    <w:rsid w:val="00345090"/>
    <w:rsid w:val="0034572C"/>
    <w:rsid w:val="003460E1"/>
    <w:rsid w:val="00346153"/>
    <w:rsid w:val="00346960"/>
    <w:rsid w:val="00346C93"/>
    <w:rsid w:val="00346E63"/>
    <w:rsid w:val="00347193"/>
    <w:rsid w:val="003479E9"/>
    <w:rsid w:val="00350366"/>
    <w:rsid w:val="00350B33"/>
    <w:rsid w:val="00350ECE"/>
    <w:rsid w:val="00351258"/>
    <w:rsid w:val="0035160E"/>
    <w:rsid w:val="00351705"/>
    <w:rsid w:val="00351880"/>
    <w:rsid w:val="0035294D"/>
    <w:rsid w:val="00352D3A"/>
    <w:rsid w:val="00353A73"/>
    <w:rsid w:val="00353AEC"/>
    <w:rsid w:val="00353F40"/>
    <w:rsid w:val="003543E0"/>
    <w:rsid w:val="00355278"/>
    <w:rsid w:val="00355A17"/>
    <w:rsid w:val="00356126"/>
    <w:rsid w:val="00357123"/>
    <w:rsid w:val="00357223"/>
    <w:rsid w:val="0036056E"/>
    <w:rsid w:val="00360695"/>
    <w:rsid w:val="003607A4"/>
    <w:rsid w:val="0036088D"/>
    <w:rsid w:val="00360FFF"/>
    <w:rsid w:val="003616C6"/>
    <w:rsid w:val="00361B0B"/>
    <w:rsid w:val="003625C1"/>
    <w:rsid w:val="00363042"/>
    <w:rsid w:val="0036310C"/>
    <w:rsid w:val="0036327B"/>
    <w:rsid w:val="00363430"/>
    <w:rsid w:val="00363EF8"/>
    <w:rsid w:val="0036425F"/>
    <w:rsid w:val="003655AC"/>
    <w:rsid w:val="00365676"/>
    <w:rsid w:val="00365F9F"/>
    <w:rsid w:val="00366033"/>
    <w:rsid w:val="0036656F"/>
    <w:rsid w:val="00366BBC"/>
    <w:rsid w:val="00366D52"/>
    <w:rsid w:val="003672DA"/>
    <w:rsid w:val="0036776A"/>
    <w:rsid w:val="003677F6"/>
    <w:rsid w:val="00367944"/>
    <w:rsid w:val="00367A3C"/>
    <w:rsid w:val="00367FF9"/>
    <w:rsid w:val="00370F4C"/>
    <w:rsid w:val="00370F8C"/>
    <w:rsid w:val="00371873"/>
    <w:rsid w:val="00371E76"/>
    <w:rsid w:val="00372800"/>
    <w:rsid w:val="00372F5C"/>
    <w:rsid w:val="00373106"/>
    <w:rsid w:val="00373284"/>
    <w:rsid w:val="003733CD"/>
    <w:rsid w:val="003735A4"/>
    <w:rsid w:val="0037388B"/>
    <w:rsid w:val="003738B5"/>
    <w:rsid w:val="00373ACD"/>
    <w:rsid w:val="003742B3"/>
    <w:rsid w:val="00374DD2"/>
    <w:rsid w:val="00374E69"/>
    <w:rsid w:val="00375151"/>
    <w:rsid w:val="00375282"/>
    <w:rsid w:val="0037549C"/>
    <w:rsid w:val="0037664C"/>
    <w:rsid w:val="0037685A"/>
    <w:rsid w:val="00376C17"/>
    <w:rsid w:val="00377067"/>
    <w:rsid w:val="00377191"/>
    <w:rsid w:val="00377405"/>
    <w:rsid w:val="0037765B"/>
    <w:rsid w:val="00377896"/>
    <w:rsid w:val="00377B2F"/>
    <w:rsid w:val="00377B58"/>
    <w:rsid w:val="00377B6F"/>
    <w:rsid w:val="00380017"/>
    <w:rsid w:val="00380021"/>
    <w:rsid w:val="00380A6E"/>
    <w:rsid w:val="00380B9F"/>
    <w:rsid w:val="00380BED"/>
    <w:rsid w:val="00380D1A"/>
    <w:rsid w:val="003819DF"/>
    <w:rsid w:val="00381A9F"/>
    <w:rsid w:val="00381B61"/>
    <w:rsid w:val="00381C56"/>
    <w:rsid w:val="00381CFB"/>
    <w:rsid w:val="003825E4"/>
    <w:rsid w:val="003830BC"/>
    <w:rsid w:val="00385D55"/>
    <w:rsid w:val="00386411"/>
    <w:rsid w:val="0038655A"/>
    <w:rsid w:val="00386E8B"/>
    <w:rsid w:val="00387213"/>
    <w:rsid w:val="0038776A"/>
    <w:rsid w:val="0038793C"/>
    <w:rsid w:val="003902A9"/>
    <w:rsid w:val="00390792"/>
    <w:rsid w:val="0039124B"/>
    <w:rsid w:val="003917E3"/>
    <w:rsid w:val="00391B2E"/>
    <w:rsid w:val="00391FC8"/>
    <w:rsid w:val="00391FD0"/>
    <w:rsid w:val="003923F1"/>
    <w:rsid w:val="0039258B"/>
    <w:rsid w:val="003927B3"/>
    <w:rsid w:val="00392936"/>
    <w:rsid w:val="00392BF7"/>
    <w:rsid w:val="00393054"/>
    <w:rsid w:val="00393551"/>
    <w:rsid w:val="003935C1"/>
    <w:rsid w:val="003936AF"/>
    <w:rsid w:val="00393E1A"/>
    <w:rsid w:val="00393F57"/>
    <w:rsid w:val="0039404A"/>
    <w:rsid w:val="003945BF"/>
    <w:rsid w:val="003947C4"/>
    <w:rsid w:val="00394B0D"/>
    <w:rsid w:val="00394DEC"/>
    <w:rsid w:val="00395333"/>
    <w:rsid w:val="0039573F"/>
    <w:rsid w:val="00395924"/>
    <w:rsid w:val="00395C0D"/>
    <w:rsid w:val="00395E2F"/>
    <w:rsid w:val="003965D7"/>
    <w:rsid w:val="003968F7"/>
    <w:rsid w:val="00396E63"/>
    <w:rsid w:val="00397704"/>
    <w:rsid w:val="00397C12"/>
    <w:rsid w:val="00397EB5"/>
    <w:rsid w:val="003A0D8E"/>
    <w:rsid w:val="003A101A"/>
    <w:rsid w:val="003A15BA"/>
    <w:rsid w:val="003A171C"/>
    <w:rsid w:val="003A20D7"/>
    <w:rsid w:val="003A2519"/>
    <w:rsid w:val="003A29AC"/>
    <w:rsid w:val="003A2EEE"/>
    <w:rsid w:val="003A36E7"/>
    <w:rsid w:val="003A39C6"/>
    <w:rsid w:val="003A40D0"/>
    <w:rsid w:val="003A4300"/>
    <w:rsid w:val="003A454A"/>
    <w:rsid w:val="003A4C9E"/>
    <w:rsid w:val="003A550E"/>
    <w:rsid w:val="003A56F5"/>
    <w:rsid w:val="003A58D3"/>
    <w:rsid w:val="003A59FC"/>
    <w:rsid w:val="003A675F"/>
    <w:rsid w:val="003A67F5"/>
    <w:rsid w:val="003A6B45"/>
    <w:rsid w:val="003B00E2"/>
    <w:rsid w:val="003B06A1"/>
    <w:rsid w:val="003B07B0"/>
    <w:rsid w:val="003B0F60"/>
    <w:rsid w:val="003B1253"/>
    <w:rsid w:val="003B1675"/>
    <w:rsid w:val="003B1B6B"/>
    <w:rsid w:val="003B24C6"/>
    <w:rsid w:val="003B2A03"/>
    <w:rsid w:val="003B2F3F"/>
    <w:rsid w:val="003B352E"/>
    <w:rsid w:val="003B3563"/>
    <w:rsid w:val="003B359F"/>
    <w:rsid w:val="003B3612"/>
    <w:rsid w:val="003B400D"/>
    <w:rsid w:val="003B4540"/>
    <w:rsid w:val="003B4CA9"/>
    <w:rsid w:val="003B4FF2"/>
    <w:rsid w:val="003B5459"/>
    <w:rsid w:val="003B5746"/>
    <w:rsid w:val="003B5AC0"/>
    <w:rsid w:val="003B6569"/>
    <w:rsid w:val="003B6609"/>
    <w:rsid w:val="003B6E3B"/>
    <w:rsid w:val="003C03BE"/>
    <w:rsid w:val="003C280E"/>
    <w:rsid w:val="003C299B"/>
    <w:rsid w:val="003C2F86"/>
    <w:rsid w:val="003C315C"/>
    <w:rsid w:val="003C31FB"/>
    <w:rsid w:val="003C3480"/>
    <w:rsid w:val="003C3B4C"/>
    <w:rsid w:val="003C3CB9"/>
    <w:rsid w:val="003C41FC"/>
    <w:rsid w:val="003C43C9"/>
    <w:rsid w:val="003C4AD3"/>
    <w:rsid w:val="003C4BD8"/>
    <w:rsid w:val="003C56A0"/>
    <w:rsid w:val="003C5A47"/>
    <w:rsid w:val="003C5C30"/>
    <w:rsid w:val="003C5D3A"/>
    <w:rsid w:val="003C5DEA"/>
    <w:rsid w:val="003C5F85"/>
    <w:rsid w:val="003C6640"/>
    <w:rsid w:val="003C697B"/>
    <w:rsid w:val="003C6DCC"/>
    <w:rsid w:val="003C7292"/>
    <w:rsid w:val="003C72D5"/>
    <w:rsid w:val="003C77C2"/>
    <w:rsid w:val="003C78A9"/>
    <w:rsid w:val="003C78E9"/>
    <w:rsid w:val="003C7BBD"/>
    <w:rsid w:val="003C7F57"/>
    <w:rsid w:val="003D006A"/>
    <w:rsid w:val="003D097A"/>
    <w:rsid w:val="003D099F"/>
    <w:rsid w:val="003D0D6B"/>
    <w:rsid w:val="003D10AB"/>
    <w:rsid w:val="003D11B3"/>
    <w:rsid w:val="003D1C74"/>
    <w:rsid w:val="003D1D1E"/>
    <w:rsid w:val="003D1E6E"/>
    <w:rsid w:val="003D1EB4"/>
    <w:rsid w:val="003D25DB"/>
    <w:rsid w:val="003D35CD"/>
    <w:rsid w:val="003D47AD"/>
    <w:rsid w:val="003D484C"/>
    <w:rsid w:val="003D4F18"/>
    <w:rsid w:val="003D58DA"/>
    <w:rsid w:val="003D5E2A"/>
    <w:rsid w:val="003D6199"/>
    <w:rsid w:val="003D675B"/>
    <w:rsid w:val="003D6769"/>
    <w:rsid w:val="003D6C96"/>
    <w:rsid w:val="003D6EC2"/>
    <w:rsid w:val="003D70C0"/>
    <w:rsid w:val="003D741A"/>
    <w:rsid w:val="003D7689"/>
    <w:rsid w:val="003D79EA"/>
    <w:rsid w:val="003D7F2D"/>
    <w:rsid w:val="003E00AB"/>
    <w:rsid w:val="003E03C7"/>
    <w:rsid w:val="003E1101"/>
    <w:rsid w:val="003E12FF"/>
    <w:rsid w:val="003E1724"/>
    <w:rsid w:val="003E1F8C"/>
    <w:rsid w:val="003E2BFD"/>
    <w:rsid w:val="003E2D1D"/>
    <w:rsid w:val="003E3311"/>
    <w:rsid w:val="003E3DBA"/>
    <w:rsid w:val="003E4481"/>
    <w:rsid w:val="003E4865"/>
    <w:rsid w:val="003E4F6F"/>
    <w:rsid w:val="003E5066"/>
    <w:rsid w:val="003E52AE"/>
    <w:rsid w:val="003E5807"/>
    <w:rsid w:val="003E5B41"/>
    <w:rsid w:val="003E61EF"/>
    <w:rsid w:val="003E633A"/>
    <w:rsid w:val="003E6CBE"/>
    <w:rsid w:val="003E6D1C"/>
    <w:rsid w:val="003E750D"/>
    <w:rsid w:val="003E799B"/>
    <w:rsid w:val="003E7D7C"/>
    <w:rsid w:val="003E7E56"/>
    <w:rsid w:val="003F00D2"/>
    <w:rsid w:val="003F04D6"/>
    <w:rsid w:val="003F0B2B"/>
    <w:rsid w:val="003F11D2"/>
    <w:rsid w:val="003F1A1B"/>
    <w:rsid w:val="003F2CCB"/>
    <w:rsid w:val="003F2CED"/>
    <w:rsid w:val="003F2FA5"/>
    <w:rsid w:val="003F3085"/>
    <w:rsid w:val="003F3396"/>
    <w:rsid w:val="003F3452"/>
    <w:rsid w:val="003F38D4"/>
    <w:rsid w:val="003F3C61"/>
    <w:rsid w:val="003F3E05"/>
    <w:rsid w:val="003F3FCA"/>
    <w:rsid w:val="003F4862"/>
    <w:rsid w:val="003F4952"/>
    <w:rsid w:val="003F524A"/>
    <w:rsid w:val="003F537A"/>
    <w:rsid w:val="003F53BB"/>
    <w:rsid w:val="003F5BFC"/>
    <w:rsid w:val="003F5FF7"/>
    <w:rsid w:val="003F607A"/>
    <w:rsid w:val="003F6223"/>
    <w:rsid w:val="003F6845"/>
    <w:rsid w:val="003F713B"/>
    <w:rsid w:val="003F725E"/>
    <w:rsid w:val="003F7609"/>
    <w:rsid w:val="003F7681"/>
    <w:rsid w:val="003F7685"/>
    <w:rsid w:val="003F76A1"/>
    <w:rsid w:val="003F796F"/>
    <w:rsid w:val="004000C9"/>
    <w:rsid w:val="004005A5"/>
    <w:rsid w:val="00400809"/>
    <w:rsid w:val="00401340"/>
    <w:rsid w:val="004014F1"/>
    <w:rsid w:val="004016D6"/>
    <w:rsid w:val="00402513"/>
    <w:rsid w:val="0040271D"/>
    <w:rsid w:val="00403025"/>
    <w:rsid w:val="00403C5D"/>
    <w:rsid w:val="00403D17"/>
    <w:rsid w:val="004040EF"/>
    <w:rsid w:val="00404A9E"/>
    <w:rsid w:val="0040503D"/>
    <w:rsid w:val="00405167"/>
    <w:rsid w:val="0040520B"/>
    <w:rsid w:val="004052A9"/>
    <w:rsid w:val="00405521"/>
    <w:rsid w:val="004057B6"/>
    <w:rsid w:val="00405F94"/>
    <w:rsid w:val="00406AEB"/>
    <w:rsid w:val="00406DE8"/>
    <w:rsid w:val="00407A8E"/>
    <w:rsid w:val="004100C9"/>
    <w:rsid w:val="004104A7"/>
    <w:rsid w:val="0041127D"/>
    <w:rsid w:val="0041180A"/>
    <w:rsid w:val="00411AEF"/>
    <w:rsid w:val="004120A3"/>
    <w:rsid w:val="00413491"/>
    <w:rsid w:val="00413EE3"/>
    <w:rsid w:val="00414300"/>
    <w:rsid w:val="0041480C"/>
    <w:rsid w:val="00414B20"/>
    <w:rsid w:val="00414F52"/>
    <w:rsid w:val="00415598"/>
    <w:rsid w:val="00415BCA"/>
    <w:rsid w:val="00415DB9"/>
    <w:rsid w:val="00415FC4"/>
    <w:rsid w:val="00415FD3"/>
    <w:rsid w:val="0041606F"/>
    <w:rsid w:val="004167B3"/>
    <w:rsid w:val="00417317"/>
    <w:rsid w:val="0041779B"/>
    <w:rsid w:val="00417C05"/>
    <w:rsid w:val="004200A4"/>
    <w:rsid w:val="004202FF"/>
    <w:rsid w:val="004203B2"/>
    <w:rsid w:val="00421C6B"/>
    <w:rsid w:val="00421D58"/>
    <w:rsid w:val="00421ED3"/>
    <w:rsid w:val="00422544"/>
    <w:rsid w:val="00422676"/>
    <w:rsid w:val="0042274E"/>
    <w:rsid w:val="00422956"/>
    <w:rsid w:val="00422D11"/>
    <w:rsid w:val="00423539"/>
    <w:rsid w:val="0042365A"/>
    <w:rsid w:val="00423B84"/>
    <w:rsid w:val="004246EB"/>
    <w:rsid w:val="004248D2"/>
    <w:rsid w:val="004249FE"/>
    <w:rsid w:val="00424ABF"/>
    <w:rsid w:val="00424EF6"/>
    <w:rsid w:val="004250A3"/>
    <w:rsid w:val="00425C41"/>
    <w:rsid w:val="00425EA6"/>
    <w:rsid w:val="0042647B"/>
    <w:rsid w:val="00427157"/>
    <w:rsid w:val="004273C5"/>
    <w:rsid w:val="00427A6A"/>
    <w:rsid w:val="004302A1"/>
    <w:rsid w:val="00430382"/>
    <w:rsid w:val="00430B75"/>
    <w:rsid w:val="00430EF0"/>
    <w:rsid w:val="004310CC"/>
    <w:rsid w:val="00431141"/>
    <w:rsid w:val="004312FC"/>
    <w:rsid w:val="004316C6"/>
    <w:rsid w:val="004316C9"/>
    <w:rsid w:val="004328E2"/>
    <w:rsid w:val="00432D0F"/>
    <w:rsid w:val="00432D9F"/>
    <w:rsid w:val="00432DA6"/>
    <w:rsid w:val="00432F44"/>
    <w:rsid w:val="00433725"/>
    <w:rsid w:val="004338FC"/>
    <w:rsid w:val="00433B5D"/>
    <w:rsid w:val="00433C36"/>
    <w:rsid w:val="00433CC5"/>
    <w:rsid w:val="00434378"/>
    <w:rsid w:val="00434E03"/>
    <w:rsid w:val="00434EA3"/>
    <w:rsid w:val="0043531F"/>
    <w:rsid w:val="00435A94"/>
    <w:rsid w:val="00435BB6"/>
    <w:rsid w:val="00435F1B"/>
    <w:rsid w:val="0043611C"/>
    <w:rsid w:val="00436537"/>
    <w:rsid w:val="00436F6E"/>
    <w:rsid w:val="00437D52"/>
    <w:rsid w:val="00440389"/>
    <w:rsid w:val="00440541"/>
    <w:rsid w:val="00440F0D"/>
    <w:rsid w:val="00441603"/>
    <w:rsid w:val="00441C25"/>
    <w:rsid w:val="00441D05"/>
    <w:rsid w:val="00441F70"/>
    <w:rsid w:val="00442152"/>
    <w:rsid w:val="004434D7"/>
    <w:rsid w:val="004436CF"/>
    <w:rsid w:val="004436DB"/>
    <w:rsid w:val="00443D0D"/>
    <w:rsid w:val="00443D7C"/>
    <w:rsid w:val="00443F6E"/>
    <w:rsid w:val="00444568"/>
    <w:rsid w:val="004453D3"/>
    <w:rsid w:val="004456EF"/>
    <w:rsid w:val="004457FB"/>
    <w:rsid w:val="00445DFC"/>
    <w:rsid w:val="004463D1"/>
    <w:rsid w:val="00446DC8"/>
    <w:rsid w:val="004473F4"/>
    <w:rsid w:val="00447CAE"/>
    <w:rsid w:val="004504D2"/>
    <w:rsid w:val="00450A75"/>
    <w:rsid w:val="004511DF"/>
    <w:rsid w:val="00451662"/>
    <w:rsid w:val="0045191F"/>
    <w:rsid w:val="00451CE6"/>
    <w:rsid w:val="00451D4F"/>
    <w:rsid w:val="004525C1"/>
    <w:rsid w:val="00452B4D"/>
    <w:rsid w:val="00452CFB"/>
    <w:rsid w:val="004532D2"/>
    <w:rsid w:val="00453E31"/>
    <w:rsid w:val="00453EE3"/>
    <w:rsid w:val="00454406"/>
    <w:rsid w:val="00454908"/>
    <w:rsid w:val="00454ACA"/>
    <w:rsid w:val="00454CA1"/>
    <w:rsid w:val="004554CE"/>
    <w:rsid w:val="00455AA5"/>
    <w:rsid w:val="00456105"/>
    <w:rsid w:val="00456498"/>
    <w:rsid w:val="00456519"/>
    <w:rsid w:val="004566B3"/>
    <w:rsid w:val="004574DB"/>
    <w:rsid w:val="00457748"/>
    <w:rsid w:val="0045783C"/>
    <w:rsid w:val="00457ABF"/>
    <w:rsid w:val="00457C1F"/>
    <w:rsid w:val="004602B0"/>
    <w:rsid w:val="004608F7"/>
    <w:rsid w:val="00460C7F"/>
    <w:rsid w:val="00461418"/>
    <w:rsid w:val="00461575"/>
    <w:rsid w:val="00461B01"/>
    <w:rsid w:val="00461D57"/>
    <w:rsid w:val="004622BB"/>
    <w:rsid w:val="004622D8"/>
    <w:rsid w:val="0046271C"/>
    <w:rsid w:val="00462DBD"/>
    <w:rsid w:val="004635EA"/>
    <w:rsid w:val="00463955"/>
    <w:rsid w:val="00463EBE"/>
    <w:rsid w:val="00464939"/>
    <w:rsid w:val="00464DA5"/>
    <w:rsid w:val="004655CB"/>
    <w:rsid w:val="004655FF"/>
    <w:rsid w:val="0046576F"/>
    <w:rsid w:val="00465FED"/>
    <w:rsid w:val="0046608C"/>
    <w:rsid w:val="004665D2"/>
    <w:rsid w:val="004666EE"/>
    <w:rsid w:val="004666F3"/>
    <w:rsid w:val="00466754"/>
    <w:rsid w:val="004668A3"/>
    <w:rsid w:val="00466CFB"/>
    <w:rsid w:val="00466F40"/>
    <w:rsid w:val="004679BC"/>
    <w:rsid w:val="00467C73"/>
    <w:rsid w:val="00467CDF"/>
    <w:rsid w:val="004702DB"/>
    <w:rsid w:val="004703C8"/>
    <w:rsid w:val="004708C7"/>
    <w:rsid w:val="00470AA4"/>
    <w:rsid w:val="00471740"/>
    <w:rsid w:val="004717DD"/>
    <w:rsid w:val="004719F5"/>
    <w:rsid w:val="00471B83"/>
    <w:rsid w:val="0047212F"/>
    <w:rsid w:val="0047219B"/>
    <w:rsid w:val="004726D7"/>
    <w:rsid w:val="00472BF3"/>
    <w:rsid w:val="0047301A"/>
    <w:rsid w:val="004733AC"/>
    <w:rsid w:val="004733D4"/>
    <w:rsid w:val="00473EDA"/>
    <w:rsid w:val="00474CF9"/>
    <w:rsid w:val="00474D7E"/>
    <w:rsid w:val="00475147"/>
    <w:rsid w:val="00475612"/>
    <w:rsid w:val="00475621"/>
    <w:rsid w:val="0047564D"/>
    <w:rsid w:val="00475A20"/>
    <w:rsid w:val="00475C1D"/>
    <w:rsid w:val="004763A9"/>
    <w:rsid w:val="00476936"/>
    <w:rsid w:val="004769AF"/>
    <w:rsid w:val="00476D6B"/>
    <w:rsid w:val="004777F9"/>
    <w:rsid w:val="00477B23"/>
    <w:rsid w:val="00480469"/>
    <w:rsid w:val="00480943"/>
    <w:rsid w:val="00480DD4"/>
    <w:rsid w:val="00480E00"/>
    <w:rsid w:val="0048118D"/>
    <w:rsid w:val="004812CB"/>
    <w:rsid w:val="0048164E"/>
    <w:rsid w:val="00481CDC"/>
    <w:rsid w:val="00481E45"/>
    <w:rsid w:val="004820BC"/>
    <w:rsid w:val="0048210B"/>
    <w:rsid w:val="004825B7"/>
    <w:rsid w:val="004829BD"/>
    <w:rsid w:val="00482EF1"/>
    <w:rsid w:val="00483055"/>
    <w:rsid w:val="00483235"/>
    <w:rsid w:val="004833B0"/>
    <w:rsid w:val="00483BB2"/>
    <w:rsid w:val="00483BF1"/>
    <w:rsid w:val="00483DCB"/>
    <w:rsid w:val="00484354"/>
    <w:rsid w:val="00484373"/>
    <w:rsid w:val="004845EB"/>
    <w:rsid w:val="004845F3"/>
    <w:rsid w:val="00484D1E"/>
    <w:rsid w:val="0048510C"/>
    <w:rsid w:val="00485224"/>
    <w:rsid w:val="00485287"/>
    <w:rsid w:val="004854E7"/>
    <w:rsid w:val="0048592D"/>
    <w:rsid w:val="004868C2"/>
    <w:rsid w:val="0048691B"/>
    <w:rsid w:val="0048698B"/>
    <w:rsid w:val="00486B65"/>
    <w:rsid w:val="00486C42"/>
    <w:rsid w:val="0048712D"/>
    <w:rsid w:val="00487138"/>
    <w:rsid w:val="004879F9"/>
    <w:rsid w:val="00487A32"/>
    <w:rsid w:val="00487AC3"/>
    <w:rsid w:val="00487BB6"/>
    <w:rsid w:val="00487D6E"/>
    <w:rsid w:val="00487DD8"/>
    <w:rsid w:val="004900BF"/>
    <w:rsid w:val="00490122"/>
    <w:rsid w:val="0049028B"/>
    <w:rsid w:val="00490778"/>
    <w:rsid w:val="0049102D"/>
    <w:rsid w:val="00491092"/>
    <w:rsid w:val="004914DC"/>
    <w:rsid w:val="0049166B"/>
    <w:rsid w:val="00491792"/>
    <w:rsid w:val="00491FA9"/>
    <w:rsid w:val="00492E31"/>
    <w:rsid w:val="00493147"/>
    <w:rsid w:val="004937FF"/>
    <w:rsid w:val="0049382E"/>
    <w:rsid w:val="0049383D"/>
    <w:rsid w:val="004939B1"/>
    <w:rsid w:val="00493F2D"/>
    <w:rsid w:val="00494593"/>
    <w:rsid w:val="00494BA1"/>
    <w:rsid w:val="00494C07"/>
    <w:rsid w:val="00494F14"/>
    <w:rsid w:val="00495BA0"/>
    <w:rsid w:val="00495E83"/>
    <w:rsid w:val="004966EC"/>
    <w:rsid w:val="004969B2"/>
    <w:rsid w:val="00496A54"/>
    <w:rsid w:val="00496E67"/>
    <w:rsid w:val="004A0001"/>
    <w:rsid w:val="004A0208"/>
    <w:rsid w:val="004A0723"/>
    <w:rsid w:val="004A0AAE"/>
    <w:rsid w:val="004A0BE3"/>
    <w:rsid w:val="004A0EBC"/>
    <w:rsid w:val="004A184D"/>
    <w:rsid w:val="004A1A78"/>
    <w:rsid w:val="004A234F"/>
    <w:rsid w:val="004A27E9"/>
    <w:rsid w:val="004A3191"/>
    <w:rsid w:val="004A3358"/>
    <w:rsid w:val="004A3F12"/>
    <w:rsid w:val="004A4974"/>
    <w:rsid w:val="004A4B74"/>
    <w:rsid w:val="004A52C9"/>
    <w:rsid w:val="004A68D9"/>
    <w:rsid w:val="004A6AFC"/>
    <w:rsid w:val="004A746C"/>
    <w:rsid w:val="004A7608"/>
    <w:rsid w:val="004A796C"/>
    <w:rsid w:val="004A7B4E"/>
    <w:rsid w:val="004A7DB9"/>
    <w:rsid w:val="004A7F4E"/>
    <w:rsid w:val="004A7FC8"/>
    <w:rsid w:val="004B0893"/>
    <w:rsid w:val="004B0965"/>
    <w:rsid w:val="004B1894"/>
    <w:rsid w:val="004B1C4C"/>
    <w:rsid w:val="004B1C71"/>
    <w:rsid w:val="004B1E75"/>
    <w:rsid w:val="004B1F37"/>
    <w:rsid w:val="004B32A8"/>
    <w:rsid w:val="004B3B62"/>
    <w:rsid w:val="004B3EF2"/>
    <w:rsid w:val="004B3FB1"/>
    <w:rsid w:val="004B428B"/>
    <w:rsid w:val="004B510E"/>
    <w:rsid w:val="004B5116"/>
    <w:rsid w:val="004B573C"/>
    <w:rsid w:val="004B5D8F"/>
    <w:rsid w:val="004B6092"/>
    <w:rsid w:val="004B60E0"/>
    <w:rsid w:val="004B6AAF"/>
    <w:rsid w:val="004B701F"/>
    <w:rsid w:val="004B73A5"/>
    <w:rsid w:val="004B7779"/>
    <w:rsid w:val="004B77C0"/>
    <w:rsid w:val="004B7A98"/>
    <w:rsid w:val="004C089E"/>
    <w:rsid w:val="004C0D03"/>
    <w:rsid w:val="004C0D31"/>
    <w:rsid w:val="004C153B"/>
    <w:rsid w:val="004C1580"/>
    <w:rsid w:val="004C19D3"/>
    <w:rsid w:val="004C1D58"/>
    <w:rsid w:val="004C1F08"/>
    <w:rsid w:val="004C2160"/>
    <w:rsid w:val="004C2489"/>
    <w:rsid w:val="004C3272"/>
    <w:rsid w:val="004C3587"/>
    <w:rsid w:val="004C378A"/>
    <w:rsid w:val="004C37E0"/>
    <w:rsid w:val="004C3A25"/>
    <w:rsid w:val="004C3B02"/>
    <w:rsid w:val="004C3C37"/>
    <w:rsid w:val="004C423D"/>
    <w:rsid w:val="004C43E0"/>
    <w:rsid w:val="004C4418"/>
    <w:rsid w:val="004C4609"/>
    <w:rsid w:val="004C4A98"/>
    <w:rsid w:val="004C5494"/>
    <w:rsid w:val="004C59BE"/>
    <w:rsid w:val="004C5D8B"/>
    <w:rsid w:val="004C5E3F"/>
    <w:rsid w:val="004C609F"/>
    <w:rsid w:val="004C6BBF"/>
    <w:rsid w:val="004C7173"/>
    <w:rsid w:val="004C779A"/>
    <w:rsid w:val="004C7C43"/>
    <w:rsid w:val="004C7D6A"/>
    <w:rsid w:val="004C7DC4"/>
    <w:rsid w:val="004D0186"/>
    <w:rsid w:val="004D0BD7"/>
    <w:rsid w:val="004D16F5"/>
    <w:rsid w:val="004D1787"/>
    <w:rsid w:val="004D1ACA"/>
    <w:rsid w:val="004D2B1B"/>
    <w:rsid w:val="004D2BF8"/>
    <w:rsid w:val="004D3429"/>
    <w:rsid w:val="004D37DD"/>
    <w:rsid w:val="004D38F4"/>
    <w:rsid w:val="004D45D2"/>
    <w:rsid w:val="004D6C3B"/>
    <w:rsid w:val="004D6CD8"/>
    <w:rsid w:val="004D712E"/>
    <w:rsid w:val="004D7180"/>
    <w:rsid w:val="004D728A"/>
    <w:rsid w:val="004D7445"/>
    <w:rsid w:val="004D771E"/>
    <w:rsid w:val="004D7DC8"/>
    <w:rsid w:val="004E00D3"/>
    <w:rsid w:val="004E0846"/>
    <w:rsid w:val="004E08E0"/>
    <w:rsid w:val="004E0B87"/>
    <w:rsid w:val="004E0F3F"/>
    <w:rsid w:val="004E0F53"/>
    <w:rsid w:val="004E1370"/>
    <w:rsid w:val="004E16BD"/>
    <w:rsid w:val="004E2EF1"/>
    <w:rsid w:val="004E319A"/>
    <w:rsid w:val="004E31D7"/>
    <w:rsid w:val="004E351A"/>
    <w:rsid w:val="004E3529"/>
    <w:rsid w:val="004E3E74"/>
    <w:rsid w:val="004E4AB7"/>
    <w:rsid w:val="004E4C1A"/>
    <w:rsid w:val="004E4E76"/>
    <w:rsid w:val="004E4F79"/>
    <w:rsid w:val="004E5258"/>
    <w:rsid w:val="004E58B7"/>
    <w:rsid w:val="004E5CA3"/>
    <w:rsid w:val="004E6021"/>
    <w:rsid w:val="004E60C1"/>
    <w:rsid w:val="004E64A8"/>
    <w:rsid w:val="004E7096"/>
    <w:rsid w:val="004E7278"/>
    <w:rsid w:val="004F00B1"/>
    <w:rsid w:val="004F0233"/>
    <w:rsid w:val="004F05ED"/>
    <w:rsid w:val="004F0C67"/>
    <w:rsid w:val="004F1500"/>
    <w:rsid w:val="004F1668"/>
    <w:rsid w:val="004F190E"/>
    <w:rsid w:val="004F1981"/>
    <w:rsid w:val="004F2174"/>
    <w:rsid w:val="004F2768"/>
    <w:rsid w:val="004F2DD6"/>
    <w:rsid w:val="004F368F"/>
    <w:rsid w:val="004F3743"/>
    <w:rsid w:val="004F3B49"/>
    <w:rsid w:val="004F4195"/>
    <w:rsid w:val="004F4226"/>
    <w:rsid w:val="004F46EF"/>
    <w:rsid w:val="004F4C21"/>
    <w:rsid w:val="004F4D2E"/>
    <w:rsid w:val="004F4F35"/>
    <w:rsid w:val="004F5A15"/>
    <w:rsid w:val="004F5C0A"/>
    <w:rsid w:val="004F5E50"/>
    <w:rsid w:val="004F618D"/>
    <w:rsid w:val="004F6329"/>
    <w:rsid w:val="004F6660"/>
    <w:rsid w:val="004F66FE"/>
    <w:rsid w:val="004F6B7B"/>
    <w:rsid w:val="004F6E74"/>
    <w:rsid w:val="004F7004"/>
    <w:rsid w:val="004F7522"/>
    <w:rsid w:val="004F76FE"/>
    <w:rsid w:val="004F7AE7"/>
    <w:rsid w:val="004F7D2C"/>
    <w:rsid w:val="004F7F5E"/>
    <w:rsid w:val="00500834"/>
    <w:rsid w:val="00500B36"/>
    <w:rsid w:val="00500FCA"/>
    <w:rsid w:val="00501563"/>
    <w:rsid w:val="005017B6"/>
    <w:rsid w:val="005025BB"/>
    <w:rsid w:val="00502666"/>
    <w:rsid w:val="00502FDB"/>
    <w:rsid w:val="00503392"/>
    <w:rsid w:val="00503500"/>
    <w:rsid w:val="005039B3"/>
    <w:rsid w:val="00503CA8"/>
    <w:rsid w:val="00504219"/>
    <w:rsid w:val="00504385"/>
    <w:rsid w:val="0050450F"/>
    <w:rsid w:val="005045C0"/>
    <w:rsid w:val="00504DC2"/>
    <w:rsid w:val="0050610D"/>
    <w:rsid w:val="00506276"/>
    <w:rsid w:val="005062F0"/>
    <w:rsid w:val="00506379"/>
    <w:rsid w:val="005067BF"/>
    <w:rsid w:val="005067C1"/>
    <w:rsid w:val="00506B30"/>
    <w:rsid w:val="00506CE4"/>
    <w:rsid w:val="00506E92"/>
    <w:rsid w:val="00507C1A"/>
    <w:rsid w:val="00510191"/>
    <w:rsid w:val="00510574"/>
    <w:rsid w:val="00511B56"/>
    <w:rsid w:val="00511D4C"/>
    <w:rsid w:val="00512421"/>
    <w:rsid w:val="00512847"/>
    <w:rsid w:val="00512FAB"/>
    <w:rsid w:val="00514087"/>
    <w:rsid w:val="005141D1"/>
    <w:rsid w:val="00514BD0"/>
    <w:rsid w:val="00514E9A"/>
    <w:rsid w:val="00515C49"/>
    <w:rsid w:val="00515DDF"/>
    <w:rsid w:val="00516075"/>
    <w:rsid w:val="00516696"/>
    <w:rsid w:val="00516BEA"/>
    <w:rsid w:val="00516E60"/>
    <w:rsid w:val="00516FF7"/>
    <w:rsid w:val="0051746D"/>
    <w:rsid w:val="00517671"/>
    <w:rsid w:val="00517C43"/>
    <w:rsid w:val="00517C9F"/>
    <w:rsid w:val="00517CB9"/>
    <w:rsid w:val="00521460"/>
    <w:rsid w:val="005216E3"/>
    <w:rsid w:val="00521AD9"/>
    <w:rsid w:val="00521CF7"/>
    <w:rsid w:val="00521E6E"/>
    <w:rsid w:val="0052242E"/>
    <w:rsid w:val="005226D9"/>
    <w:rsid w:val="005230EE"/>
    <w:rsid w:val="00524175"/>
    <w:rsid w:val="005242D7"/>
    <w:rsid w:val="0052444B"/>
    <w:rsid w:val="00524470"/>
    <w:rsid w:val="005245B2"/>
    <w:rsid w:val="005246A2"/>
    <w:rsid w:val="00524905"/>
    <w:rsid w:val="00524D02"/>
    <w:rsid w:val="00526886"/>
    <w:rsid w:val="00527E42"/>
    <w:rsid w:val="005304E3"/>
    <w:rsid w:val="0053069C"/>
    <w:rsid w:val="005306E8"/>
    <w:rsid w:val="00530A5B"/>
    <w:rsid w:val="00530F04"/>
    <w:rsid w:val="00531428"/>
    <w:rsid w:val="005316F1"/>
    <w:rsid w:val="00531770"/>
    <w:rsid w:val="00531AC4"/>
    <w:rsid w:val="00531FEB"/>
    <w:rsid w:val="005326AD"/>
    <w:rsid w:val="005327A0"/>
    <w:rsid w:val="00532E46"/>
    <w:rsid w:val="00532E79"/>
    <w:rsid w:val="00533EE2"/>
    <w:rsid w:val="00534207"/>
    <w:rsid w:val="00534B63"/>
    <w:rsid w:val="00534D18"/>
    <w:rsid w:val="00535170"/>
    <w:rsid w:val="0053565B"/>
    <w:rsid w:val="005357E6"/>
    <w:rsid w:val="00535CF0"/>
    <w:rsid w:val="00535FDD"/>
    <w:rsid w:val="0053618E"/>
    <w:rsid w:val="005361A5"/>
    <w:rsid w:val="0053637B"/>
    <w:rsid w:val="0053700C"/>
    <w:rsid w:val="0053714F"/>
    <w:rsid w:val="00537C35"/>
    <w:rsid w:val="00537E0B"/>
    <w:rsid w:val="0054036A"/>
    <w:rsid w:val="005406A3"/>
    <w:rsid w:val="00540A77"/>
    <w:rsid w:val="00540ABF"/>
    <w:rsid w:val="00540B68"/>
    <w:rsid w:val="00540D3D"/>
    <w:rsid w:val="00540E59"/>
    <w:rsid w:val="00541196"/>
    <w:rsid w:val="00541440"/>
    <w:rsid w:val="00541893"/>
    <w:rsid w:val="0054192E"/>
    <w:rsid w:val="00541FE8"/>
    <w:rsid w:val="0054250D"/>
    <w:rsid w:val="005425E6"/>
    <w:rsid w:val="00542607"/>
    <w:rsid w:val="0054276F"/>
    <w:rsid w:val="0054292A"/>
    <w:rsid w:val="00542AEF"/>
    <w:rsid w:val="00542EEB"/>
    <w:rsid w:val="00543045"/>
    <w:rsid w:val="00543454"/>
    <w:rsid w:val="00543F2A"/>
    <w:rsid w:val="005441A0"/>
    <w:rsid w:val="00544392"/>
    <w:rsid w:val="005446C0"/>
    <w:rsid w:val="0054523A"/>
    <w:rsid w:val="005456D5"/>
    <w:rsid w:val="0054579A"/>
    <w:rsid w:val="00545879"/>
    <w:rsid w:val="00545A52"/>
    <w:rsid w:val="00545D0B"/>
    <w:rsid w:val="00545F94"/>
    <w:rsid w:val="0054635A"/>
    <w:rsid w:val="00546F7F"/>
    <w:rsid w:val="00547280"/>
    <w:rsid w:val="00547A4B"/>
    <w:rsid w:val="00547C01"/>
    <w:rsid w:val="00547C87"/>
    <w:rsid w:val="00547EDF"/>
    <w:rsid w:val="00547FC6"/>
    <w:rsid w:val="00550A4A"/>
    <w:rsid w:val="00550FED"/>
    <w:rsid w:val="0055178D"/>
    <w:rsid w:val="005518D0"/>
    <w:rsid w:val="0055192D"/>
    <w:rsid w:val="00552AF8"/>
    <w:rsid w:val="00552D22"/>
    <w:rsid w:val="005533EC"/>
    <w:rsid w:val="00553823"/>
    <w:rsid w:val="0055391E"/>
    <w:rsid w:val="005539C5"/>
    <w:rsid w:val="00553A99"/>
    <w:rsid w:val="00554115"/>
    <w:rsid w:val="005545B3"/>
    <w:rsid w:val="005546E9"/>
    <w:rsid w:val="005549FD"/>
    <w:rsid w:val="00555083"/>
    <w:rsid w:val="0055582C"/>
    <w:rsid w:val="0055615A"/>
    <w:rsid w:val="005561CF"/>
    <w:rsid w:val="0055624B"/>
    <w:rsid w:val="00556950"/>
    <w:rsid w:val="00556D39"/>
    <w:rsid w:val="005573C6"/>
    <w:rsid w:val="00557C2B"/>
    <w:rsid w:val="00557C82"/>
    <w:rsid w:val="00560081"/>
    <w:rsid w:val="00561406"/>
    <w:rsid w:val="005614A0"/>
    <w:rsid w:val="00561608"/>
    <w:rsid w:val="0056161E"/>
    <w:rsid w:val="00561702"/>
    <w:rsid w:val="00561B0F"/>
    <w:rsid w:val="00561B2A"/>
    <w:rsid w:val="00561E24"/>
    <w:rsid w:val="00562193"/>
    <w:rsid w:val="00562A8F"/>
    <w:rsid w:val="00562BDC"/>
    <w:rsid w:val="00564687"/>
    <w:rsid w:val="005653E6"/>
    <w:rsid w:val="00565478"/>
    <w:rsid w:val="005657A9"/>
    <w:rsid w:val="00565F1B"/>
    <w:rsid w:val="00566594"/>
    <w:rsid w:val="005666EC"/>
    <w:rsid w:val="00566CD3"/>
    <w:rsid w:val="005670DC"/>
    <w:rsid w:val="00567861"/>
    <w:rsid w:val="0056786D"/>
    <w:rsid w:val="00567E9D"/>
    <w:rsid w:val="0057101D"/>
    <w:rsid w:val="005715CD"/>
    <w:rsid w:val="005719CD"/>
    <w:rsid w:val="00571C36"/>
    <w:rsid w:val="00571C40"/>
    <w:rsid w:val="00571C70"/>
    <w:rsid w:val="00572293"/>
    <w:rsid w:val="00572507"/>
    <w:rsid w:val="0057253A"/>
    <w:rsid w:val="005726F6"/>
    <w:rsid w:val="00572780"/>
    <w:rsid w:val="005729BF"/>
    <w:rsid w:val="005735B2"/>
    <w:rsid w:val="00573DD8"/>
    <w:rsid w:val="00573E13"/>
    <w:rsid w:val="00574238"/>
    <w:rsid w:val="005746E2"/>
    <w:rsid w:val="00574840"/>
    <w:rsid w:val="00574934"/>
    <w:rsid w:val="005757DB"/>
    <w:rsid w:val="005758B4"/>
    <w:rsid w:val="0057612F"/>
    <w:rsid w:val="00577063"/>
    <w:rsid w:val="005774A2"/>
    <w:rsid w:val="005775EC"/>
    <w:rsid w:val="00577694"/>
    <w:rsid w:val="005776AE"/>
    <w:rsid w:val="00577D53"/>
    <w:rsid w:val="00580C40"/>
    <w:rsid w:val="00580CEB"/>
    <w:rsid w:val="00580D9B"/>
    <w:rsid w:val="0058100D"/>
    <w:rsid w:val="005819E4"/>
    <w:rsid w:val="0058206C"/>
    <w:rsid w:val="005827A5"/>
    <w:rsid w:val="00582AE3"/>
    <w:rsid w:val="00582AE7"/>
    <w:rsid w:val="00583183"/>
    <w:rsid w:val="00583423"/>
    <w:rsid w:val="005838E9"/>
    <w:rsid w:val="00583FA4"/>
    <w:rsid w:val="005840E2"/>
    <w:rsid w:val="0058416B"/>
    <w:rsid w:val="00584BA9"/>
    <w:rsid w:val="00584BEF"/>
    <w:rsid w:val="00584CE2"/>
    <w:rsid w:val="00584E47"/>
    <w:rsid w:val="005850ED"/>
    <w:rsid w:val="0058536C"/>
    <w:rsid w:val="0058557E"/>
    <w:rsid w:val="0058560B"/>
    <w:rsid w:val="005859DC"/>
    <w:rsid w:val="00585DC6"/>
    <w:rsid w:val="005864F2"/>
    <w:rsid w:val="00586808"/>
    <w:rsid w:val="00586CCE"/>
    <w:rsid w:val="00587428"/>
    <w:rsid w:val="005875B1"/>
    <w:rsid w:val="005877C1"/>
    <w:rsid w:val="00587D8D"/>
    <w:rsid w:val="00587D98"/>
    <w:rsid w:val="005903CA"/>
    <w:rsid w:val="00590B92"/>
    <w:rsid w:val="00590CFF"/>
    <w:rsid w:val="00591277"/>
    <w:rsid w:val="0059196A"/>
    <w:rsid w:val="00591A9F"/>
    <w:rsid w:val="00591CB5"/>
    <w:rsid w:val="00592367"/>
    <w:rsid w:val="0059246F"/>
    <w:rsid w:val="005925F1"/>
    <w:rsid w:val="00592812"/>
    <w:rsid w:val="00592878"/>
    <w:rsid w:val="00592C19"/>
    <w:rsid w:val="00592C87"/>
    <w:rsid w:val="005934A1"/>
    <w:rsid w:val="0059376A"/>
    <w:rsid w:val="00593F99"/>
    <w:rsid w:val="005940D0"/>
    <w:rsid w:val="0059431C"/>
    <w:rsid w:val="005953B3"/>
    <w:rsid w:val="005953D9"/>
    <w:rsid w:val="00595483"/>
    <w:rsid w:val="005959CC"/>
    <w:rsid w:val="00595C13"/>
    <w:rsid w:val="00597CFA"/>
    <w:rsid w:val="00597EEE"/>
    <w:rsid w:val="005A0476"/>
    <w:rsid w:val="005A0859"/>
    <w:rsid w:val="005A0DD3"/>
    <w:rsid w:val="005A14F6"/>
    <w:rsid w:val="005A1A12"/>
    <w:rsid w:val="005A1C7F"/>
    <w:rsid w:val="005A23C8"/>
    <w:rsid w:val="005A2B5D"/>
    <w:rsid w:val="005A36A2"/>
    <w:rsid w:val="005A3B2C"/>
    <w:rsid w:val="005A3C42"/>
    <w:rsid w:val="005A41CA"/>
    <w:rsid w:val="005A429C"/>
    <w:rsid w:val="005A4616"/>
    <w:rsid w:val="005A536B"/>
    <w:rsid w:val="005A5963"/>
    <w:rsid w:val="005A5FC7"/>
    <w:rsid w:val="005A654B"/>
    <w:rsid w:val="005B0539"/>
    <w:rsid w:val="005B0595"/>
    <w:rsid w:val="005B068E"/>
    <w:rsid w:val="005B080B"/>
    <w:rsid w:val="005B172A"/>
    <w:rsid w:val="005B1856"/>
    <w:rsid w:val="005B1DC9"/>
    <w:rsid w:val="005B1EC3"/>
    <w:rsid w:val="005B206A"/>
    <w:rsid w:val="005B25F3"/>
    <w:rsid w:val="005B2A49"/>
    <w:rsid w:val="005B2E95"/>
    <w:rsid w:val="005B31C3"/>
    <w:rsid w:val="005B31F2"/>
    <w:rsid w:val="005B36F6"/>
    <w:rsid w:val="005B3F99"/>
    <w:rsid w:val="005B4080"/>
    <w:rsid w:val="005B4462"/>
    <w:rsid w:val="005B4750"/>
    <w:rsid w:val="005B49A9"/>
    <w:rsid w:val="005B4D22"/>
    <w:rsid w:val="005B4F2C"/>
    <w:rsid w:val="005B5091"/>
    <w:rsid w:val="005B53AD"/>
    <w:rsid w:val="005B5B3B"/>
    <w:rsid w:val="005B5D88"/>
    <w:rsid w:val="005B6020"/>
    <w:rsid w:val="005B6349"/>
    <w:rsid w:val="005B6394"/>
    <w:rsid w:val="005B670F"/>
    <w:rsid w:val="005B673F"/>
    <w:rsid w:val="005B6AA8"/>
    <w:rsid w:val="005B72C1"/>
    <w:rsid w:val="005B7973"/>
    <w:rsid w:val="005B7BB7"/>
    <w:rsid w:val="005B7D9B"/>
    <w:rsid w:val="005B7DC0"/>
    <w:rsid w:val="005C0005"/>
    <w:rsid w:val="005C0B48"/>
    <w:rsid w:val="005C1B8F"/>
    <w:rsid w:val="005C1F4E"/>
    <w:rsid w:val="005C2167"/>
    <w:rsid w:val="005C32C8"/>
    <w:rsid w:val="005C347D"/>
    <w:rsid w:val="005C3AC5"/>
    <w:rsid w:val="005C4B46"/>
    <w:rsid w:val="005C529A"/>
    <w:rsid w:val="005C5417"/>
    <w:rsid w:val="005C5757"/>
    <w:rsid w:val="005C65D3"/>
    <w:rsid w:val="005C669C"/>
    <w:rsid w:val="005C6B3B"/>
    <w:rsid w:val="005C7301"/>
    <w:rsid w:val="005C7A21"/>
    <w:rsid w:val="005D02DD"/>
    <w:rsid w:val="005D0C25"/>
    <w:rsid w:val="005D0C35"/>
    <w:rsid w:val="005D0C6D"/>
    <w:rsid w:val="005D0F08"/>
    <w:rsid w:val="005D105E"/>
    <w:rsid w:val="005D1374"/>
    <w:rsid w:val="005D186D"/>
    <w:rsid w:val="005D1886"/>
    <w:rsid w:val="005D1AF3"/>
    <w:rsid w:val="005D2028"/>
    <w:rsid w:val="005D22EB"/>
    <w:rsid w:val="005D2B41"/>
    <w:rsid w:val="005D2BC0"/>
    <w:rsid w:val="005D2DCD"/>
    <w:rsid w:val="005D31E9"/>
    <w:rsid w:val="005D3429"/>
    <w:rsid w:val="005D352C"/>
    <w:rsid w:val="005D373B"/>
    <w:rsid w:val="005D3B26"/>
    <w:rsid w:val="005D3C70"/>
    <w:rsid w:val="005D3D1C"/>
    <w:rsid w:val="005D4389"/>
    <w:rsid w:val="005D4598"/>
    <w:rsid w:val="005D4B9B"/>
    <w:rsid w:val="005D613F"/>
    <w:rsid w:val="005D77B4"/>
    <w:rsid w:val="005D79FF"/>
    <w:rsid w:val="005E0460"/>
    <w:rsid w:val="005E0CE6"/>
    <w:rsid w:val="005E0E48"/>
    <w:rsid w:val="005E1518"/>
    <w:rsid w:val="005E18F3"/>
    <w:rsid w:val="005E1A70"/>
    <w:rsid w:val="005E20D6"/>
    <w:rsid w:val="005E23FA"/>
    <w:rsid w:val="005E2BDF"/>
    <w:rsid w:val="005E3115"/>
    <w:rsid w:val="005E370A"/>
    <w:rsid w:val="005E38FE"/>
    <w:rsid w:val="005E404F"/>
    <w:rsid w:val="005E4539"/>
    <w:rsid w:val="005E477F"/>
    <w:rsid w:val="005E4B0C"/>
    <w:rsid w:val="005E4EC7"/>
    <w:rsid w:val="005E54E8"/>
    <w:rsid w:val="005E640B"/>
    <w:rsid w:val="005E665F"/>
    <w:rsid w:val="005E6EF1"/>
    <w:rsid w:val="005E6FC9"/>
    <w:rsid w:val="005E7276"/>
    <w:rsid w:val="005E748B"/>
    <w:rsid w:val="005E77F4"/>
    <w:rsid w:val="005E7920"/>
    <w:rsid w:val="005E7F92"/>
    <w:rsid w:val="005F0225"/>
    <w:rsid w:val="005F077F"/>
    <w:rsid w:val="005F0E89"/>
    <w:rsid w:val="005F1848"/>
    <w:rsid w:val="005F1CF1"/>
    <w:rsid w:val="005F27D7"/>
    <w:rsid w:val="005F2A63"/>
    <w:rsid w:val="005F2E24"/>
    <w:rsid w:val="005F2F4C"/>
    <w:rsid w:val="005F33BA"/>
    <w:rsid w:val="005F353E"/>
    <w:rsid w:val="005F36E3"/>
    <w:rsid w:val="005F3778"/>
    <w:rsid w:val="005F3883"/>
    <w:rsid w:val="005F3C9C"/>
    <w:rsid w:val="005F3EB3"/>
    <w:rsid w:val="005F3EBE"/>
    <w:rsid w:val="005F5399"/>
    <w:rsid w:val="005F54F3"/>
    <w:rsid w:val="005F60EE"/>
    <w:rsid w:val="005F623E"/>
    <w:rsid w:val="005F69B3"/>
    <w:rsid w:val="005F6A8A"/>
    <w:rsid w:val="005F6E05"/>
    <w:rsid w:val="005F6EC1"/>
    <w:rsid w:val="005F72F5"/>
    <w:rsid w:val="005F76CA"/>
    <w:rsid w:val="005F7A6B"/>
    <w:rsid w:val="005F7B58"/>
    <w:rsid w:val="005F7C66"/>
    <w:rsid w:val="005F7CB5"/>
    <w:rsid w:val="00600070"/>
    <w:rsid w:val="00600DC2"/>
    <w:rsid w:val="00600F9E"/>
    <w:rsid w:val="0060107A"/>
    <w:rsid w:val="0060214F"/>
    <w:rsid w:val="006021FF"/>
    <w:rsid w:val="00602373"/>
    <w:rsid w:val="006029EF"/>
    <w:rsid w:val="00602A87"/>
    <w:rsid w:val="00603178"/>
    <w:rsid w:val="00603448"/>
    <w:rsid w:val="006035A8"/>
    <w:rsid w:val="006043A5"/>
    <w:rsid w:val="00604722"/>
    <w:rsid w:val="00604E11"/>
    <w:rsid w:val="0060500C"/>
    <w:rsid w:val="006050C3"/>
    <w:rsid w:val="006053FD"/>
    <w:rsid w:val="00605CB6"/>
    <w:rsid w:val="00606377"/>
    <w:rsid w:val="00606876"/>
    <w:rsid w:val="00606D6D"/>
    <w:rsid w:val="00606DCA"/>
    <w:rsid w:val="00606DD9"/>
    <w:rsid w:val="00606E32"/>
    <w:rsid w:val="00607036"/>
    <w:rsid w:val="006072F8"/>
    <w:rsid w:val="00607CEF"/>
    <w:rsid w:val="0061036C"/>
    <w:rsid w:val="00610672"/>
    <w:rsid w:val="00610C47"/>
    <w:rsid w:val="00610E7A"/>
    <w:rsid w:val="00611022"/>
    <w:rsid w:val="00611341"/>
    <w:rsid w:val="00611DEA"/>
    <w:rsid w:val="00612EF2"/>
    <w:rsid w:val="00613755"/>
    <w:rsid w:val="00613CE4"/>
    <w:rsid w:val="0061411B"/>
    <w:rsid w:val="006143CD"/>
    <w:rsid w:val="00614998"/>
    <w:rsid w:val="00614C23"/>
    <w:rsid w:val="00614CC9"/>
    <w:rsid w:val="00614FD9"/>
    <w:rsid w:val="0061510E"/>
    <w:rsid w:val="00615478"/>
    <w:rsid w:val="0061599C"/>
    <w:rsid w:val="00615E7C"/>
    <w:rsid w:val="00616083"/>
    <w:rsid w:val="00616115"/>
    <w:rsid w:val="006164FE"/>
    <w:rsid w:val="00616540"/>
    <w:rsid w:val="006165B9"/>
    <w:rsid w:val="00616768"/>
    <w:rsid w:val="006167D0"/>
    <w:rsid w:val="0061688B"/>
    <w:rsid w:val="006205B4"/>
    <w:rsid w:val="00620A38"/>
    <w:rsid w:val="00620B36"/>
    <w:rsid w:val="00620B58"/>
    <w:rsid w:val="00621AEE"/>
    <w:rsid w:val="00621FAA"/>
    <w:rsid w:val="00622556"/>
    <w:rsid w:val="00623004"/>
    <w:rsid w:val="00623587"/>
    <w:rsid w:val="006235D0"/>
    <w:rsid w:val="0062363A"/>
    <w:rsid w:val="00624215"/>
    <w:rsid w:val="00624C7D"/>
    <w:rsid w:val="00624CE8"/>
    <w:rsid w:val="006253B6"/>
    <w:rsid w:val="00625667"/>
    <w:rsid w:val="00625C34"/>
    <w:rsid w:val="00625CA9"/>
    <w:rsid w:val="00625E1D"/>
    <w:rsid w:val="00626769"/>
    <w:rsid w:val="00627115"/>
    <w:rsid w:val="00627635"/>
    <w:rsid w:val="00627B0F"/>
    <w:rsid w:val="00627B9A"/>
    <w:rsid w:val="00627E5C"/>
    <w:rsid w:val="00627F48"/>
    <w:rsid w:val="00627FD8"/>
    <w:rsid w:val="00630B71"/>
    <w:rsid w:val="006311AD"/>
    <w:rsid w:val="00632B6E"/>
    <w:rsid w:val="00632B8F"/>
    <w:rsid w:val="00632C60"/>
    <w:rsid w:val="0063373D"/>
    <w:rsid w:val="00633893"/>
    <w:rsid w:val="006341AA"/>
    <w:rsid w:val="0063466E"/>
    <w:rsid w:val="00634807"/>
    <w:rsid w:val="006348F7"/>
    <w:rsid w:val="0063494C"/>
    <w:rsid w:val="00634C6B"/>
    <w:rsid w:val="00634D4E"/>
    <w:rsid w:val="00634F2F"/>
    <w:rsid w:val="006350F1"/>
    <w:rsid w:val="00635128"/>
    <w:rsid w:val="00635305"/>
    <w:rsid w:val="00635702"/>
    <w:rsid w:val="00636026"/>
    <w:rsid w:val="00636DC3"/>
    <w:rsid w:val="006373FA"/>
    <w:rsid w:val="0063792F"/>
    <w:rsid w:val="00637E21"/>
    <w:rsid w:val="006400A4"/>
    <w:rsid w:val="00640491"/>
    <w:rsid w:val="00640B0D"/>
    <w:rsid w:val="00641274"/>
    <w:rsid w:val="00641477"/>
    <w:rsid w:val="0064153C"/>
    <w:rsid w:val="00641D3D"/>
    <w:rsid w:val="006422DC"/>
    <w:rsid w:val="0064254E"/>
    <w:rsid w:val="0064267A"/>
    <w:rsid w:val="006443DD"/>
    <w:rsid w:val="0064461E"/>
    <w:rsid w:val="00644753"/>
    <w:rsid w:val="00644882"/>
    <w:rsid w:val="006448D4"/>
    <w:rsid w:val="00644B50"/>
    <w:rsid w:val="00644B8A"/>
    <w:rsid w:val="00644BB3"/>
    <w:rsid w:val="00644EE6"/>
    <w:rsid w:val="006455B7"/>
    <w:rsid w:val="006457DA"/>
    <w:rsid w:val="00645914"/>
    <w:rsid w:val="0064597E"/>
    <w:rsid w:val="00645B56"/>
    <w:rsid w:val="00646106"/>
    <w:rsid w:val="00646485"/>
    <w:rsid w:val="00646E6F"/>
    <w:rsid w:val="0064725F"/>
    <w:rsid w:val="00647C43"/>
    <w:rsid w:val="00647F48"/>
    <w:rsid w:val="006502E9"/>
    <w:rsid w:val="006506C1"/>
    <w:rsid w:val="00650E9E"/>
    <w:rsid w:val="006514D4"/>
    <w:rsid w:val="00651514"/>
    <w:rsid w:val="00651C88"/>
    <w:rsid w:val="006521A5"/>
    <w:rsid w:val="0065245E"/>
    <w:rsid w:val="006525A8"/>
    <w:rsid w:val="00652CDE"/>
    <w:rsid w:val="00653733"/>
    <w:rsid w:val="00653A56"/>
    <w:rsid w:val="00654984"/>
    <w:rsid w:val="00654D33"/>
    <w:rsid w:val="00654E18"/>
    <w:rsid w:val="00654E40"/>
    <w:rsid w:val="00655921"/>
    <w:rsid w:val="00655BEA"/>
    <w:rsid w:val="00656064"/>
    <w:rsid w:val="0065637B"/>
    <w:rsid w:val="006566EC"/>
    <w:rsid w:val="0065685F"/>
    <w:rsid w:val="00656A38"/>
    <w:rsid w:val="00656ACB"/>
    <w:rsid w:val="00656EBB"/>
    <w:rsid w:val="00657015"/>
    <w:rsid w:val="00657437"/>
    <w:rsid w:val="00657660"/>
    <w:rsid w:val="006576C5"/>
    <w:rsid w:val="00657AF6"/>
    <w:rsid w:val="00657C76"/>
    <w:rsid w:val="00660026"/>
    <w:rsid w:val="00660552"/>
    <w:rsid w:val="00660D7A"/>
    <w:rsid w:val="0066167B"/>
    <w:rsid w:val="00661AF6"/>
    <w:rsid w:val="00661E07"/>
    <w:rsid w:val="00661F18"/>
    <w:rsid w:val="00662CD5"/>
    <w:rsid w:val="0066301A"/>
    <w:rsid w:val="006631C6"/>
    <w:rsid w:val="006634B8"/>
    <w:rsid w:val="0066376B"/>
    <w:rsid w:val="006639C7"/>
    <w:rsid w:val="00663B3F"/>
    <w:rsid w:val="006647F4"/>
    <w:rsid w:val="00664EB7"/>
    <w:rsid w:val="00665AAC"/>
    <w:rsid w:val="006661A6"/>
    <w:rsid w:val="00666A9D"/>
    <w:rsid w:val="00666AE7"/>
    <w:rsid w:val="00666B2A"/>
    <w:rsid w:val="00666C3A"/>
    <w:rsid w:val="00666F59"/>
    <w:rsid w:val="00667235"/>
    <w:rsid w:val="00667513"/>
    <w:rsid w:val="0066751C"/>
    <w:rsid w:val="00667839"/>
    <w:rsid w:val="006679AE"/>
    <w:rsid w:val="00670AEC"/>
    <w:rsid w:val="00670BF9"/>
    <w:rsid w:val="00670EED"/>
    <w:rsid w:val="00670FAC"/>
    <w:rsid w:val="00671708"/>
    <w:rsid w:val="0067196B"/>
    <w:rsid w:val="00671DEE"/>
    <w:rsid w:val="00672141"/>
    <w:rsid w:val="0067243A"/>
    <w:rsid w:val="006727C3"/>
    <w:rsid w:val="006727FF"/>
    <w:rsid w:val="00672E18"/>
    <w:rsid w:val="00673222"/>
    <w:rsid w:val="006733A6"/>
    <w:rsid w:val="0067365B"/>
    <w:rsid w:val="0067398C"/>
    <w:rsid w:val="00673CE9"/>
    <w:rsid w:val="00673EC6"/>
    <w:rsid w:val="00674A70"/>
    <w:rsid w:val="00674D06"/>
    <w:rsid w:val="006754DB"/>
    <w:rsid w:val="006755FF"/>
    <w:rsid w:val="006759C9"/>
    <w:rsid w:val="006769F4"/>
    <w:rsid w:val="00676E87"/>
    <w:rsid w:val="0067773A"/>
    <w:rsid w:val="00677B5F"/>
    <w:rsid w:val="00677C9C"/>
    <w:rsid w:val="00677FF2"/>
    <w:rsid w:val="00680707"/>
    <w:rsid w:val="00680E62"/>
    <w:rsid w:val="0068128A"/>
    <w:rsid w:val="00681801"/>
    <w:rsid w:val="00681E24"/>
    <w:rsid w:val="00681FB8"/>
    <w:rsid w:val="006823CC"/>
    <w:rsid w:val="00682536"/>
    <w:rsid w:val="006826F4"/>
    <w:rsid w:val="006832EA"/>
    <w:rsid w:val="0068339D"/>
    <w:rsid w:val="00683408"/>
    <w:rsid w:val="0068395A"/>
    <w:rsid w:val="00683C16"/>
    <w:rsid w:val="00683CD5"/>
    <w:rsid w:val="0068409D"/>
    <w:rsid w:val="006840A1"/>
    <w:rsid w:val="0068537B"/>
    <w:rsid w:val="006854C5"/>
    <w:rsid w:val="00685C35"/>
    <w:rsid w:val="00686300"/>
    <w:rsid w:val="00686A3A"/>
    <w:rsid w:val="0068706B"/>
    <w:rsid w:val="0068768E"/>
    <w:rsid w:val="00687F1E"/>
    <w:rsid w:val="00687FC9"/>
    <w:rsid w:val="0069081D"/>
    <w:rsid w:val="00691297"/>
    <w:rsid w:val="006914EF"/>
    <w:rsid w:val="00691DB5"/>
    <w:rsid w:val="0069215B"/>
    <w:rsid w:val="006923F3"/>
    <w:rsid w:val="00693115"/>
    <w:rsid w:val="006931B4"/>
    <w:rsid w:val="0069337B"/>
    <w:rsid w:val="00693992"/>
    <w:rsid w:val="0069399D"/>
    <w:rsid w:val="00693C30"/>
    <w:rsid w:val="00693E5D"/>
    <w:rsid w:val="00694113"/>
    <w:rsid w:val="006943A3"/>
    <w:rsid w:val="00694449"/>
    <w:rsid w:val="00695C16"/>
    <w:rsid w:val="00695C23"/>
    <w:rsid w:val="00695E0B"/>
    <w:rsid w:val="00695E3B"/>
    <w:rsid w:val="00695F03"/>
    <w:rsid w:val="00696E2D"/>
    <w:rsid w:val="00696FE9"/>
    <w:rsid w:val="006970CD"/>
    <w:rsid w:val="0069710D"/>
    <w:rsid w:val="006976FD"/>
    <w:rsid w:val="00697EF8"/>
    <w:rsid w:val="006A00C6"/>
    <w:rsid w:val="006A0291"/>
    <w:rsid w:val="006A0853"/>
    <w:rsid w:val="006A0B64"/>
    <w:rsid w:val="006A0CD4"/>
    <w:rsid w:val="006A2306"/>
    <w:rsid w:val="006A277F"/>
    <w:rsid w:val="006A2C13"/>
    <w:rsid w:val="006A2E92"/>
    <w:rsid w:val="006A3743"/>
    <w:rsid w:val="006A4006"/>
    <w:rsid w:val="006A4317"/>
    <w:rsid w:val="006A43D1"/>
    <w:rsid w:val="006A4D85"/>
    <w:rsid w:val="006A5705"/>
    <w:rsid w:val="006A5F44"/>
    <w:rsid w:val="006A6323"/>
    <w:rsid w:val="006A65F3"/>
    <w:rsid w:val="006A673A"/>
    <w:rsid w:val="006A677B"/>
    <w:rsid w:val="006A67E7"/>
    <w:rsid w:val="006A69FD"/>
    <w:rsid w:val="006A6B98"/>
    <w:rsid w:val="006A6C3E"/>
    <w:rsid w:val="006A6DCE"/>
    <w:rsid w:val="006A703A"/>
    <w:rsid w:val="006A7291"/>
    <w:rsid w:val="006A746C"/>
    <w:rsid w:val="006A787B"/>
    <w:rsid w:val="006A7CAD"/>
    <w:rsid w:val="006B027B"/>
    <w:rsid w:val="006B02BE"/>
    <w:rsid w:val="006B069C"/>
    <w:rsid w:val="006B0D53"/>
    <w:rsid w:val="006B0D7F"/>
    <w:rsid w:val="006B0DF2"/>
    <w:rsid w:val="006B1769"/>
    <w:rsid w:val="006B17EA"/>
    <w:rsid w:val="006B1A5D"/>
    <w:rsid w:val="006B1A98"/>
    <w:rsid w:val="006B1AF7"/>
    <w:rsid w:val="006B26EB"/>
    <w:rsid w:val="006B2BD7"/>
    <w:rsid w:val="006B38D7"/>
    <w:rsid w:val="006B4FD1"/>
    <w:rsid w:val="006B78FE"/>
    <w:rsid w:val="006B7F58"/>
    <w:rsid w:val="006C0624"/>
    <w:rsid w:val="006C0A1B"/>
    <w:rsid w:val="006C100E"/>
    <w:rsid w:val="006C149B"/>
    <w:rsid w:val="006C1B40"/>
    <w:rsid w:val="006C20B3"/>
    <w:rsid w:val="006C24FB"/>
    <w:rsid w:val="006C2BBB"/>
    <w:rsid w:val="006C33AF"/>
    <w:rsid w:val="006C3814"/>
    <w:rsid w:val="006C3BA6"/>
    <w:rsid w:val="006C3F15"/>
    <w:rsid w:val="006C463C"/>
    <w:rsid w:val="006C478C"/>
    <w:rsid w:val="006C567E"/>
    <w:rsid w:val="006C59E5"/>
    <w:rsid w:val="006C5DC9"/>
    <w:rsid w:val="006C62EB"/>
    <w:rsid w:val="006C637A"/>
    <w:rsid w:val="006C71B1"/>
    <w:rsid w:val="006C7CBF"/>
    <w:rsid w:val="006C7F76"/>
    <w:rsid w:val="006C7F79"/>
    <w:rsid w:val="006D017C"/>
    <w:rsid w:val="006D0261"/>
    <w:rsid w:val="006D0EC1"/>
    <w:rsid w:val="006D0F8F"/>
    <w:rsid w:val="006D0F92"/>
    <w:rsid w:val="006D10A5"/>
    <w:rsid w:val="006D15FA"/>
    <w:rsid w:val="006D1686"/>
    <w:rsid w:val="006D1AFA"/>
    <w:rsid w:val="006D1BF3"/>
    <w:rsid w:val="006D23B4"/>
    <w:rsid w:val="006D2742"/>
    <w:rsid w:val="006D2809"/>
    <w:rsid w:val="006D2AAC"/>
    <w:rsid w:val="006D2E79"/>
    <w:rsid w:val="006D3043"/>
    <w:rsid w:val="006D3B9B"/>
    <w:rsid w:val="006D40A6"/>
    <w:rsid w:val="006D437F"/>
    <w:rsid w:val="006D4691"/>
    <w:rsid w:val="006D4D89"/>
    <w:rsid w:val="006D53D1"/>
    <w:rsid w:val="006D5508"/>
    <w:rsid w:val="006D5940"/>
    <w:rsid w:val="006D60EA"/>
    <w:rsid w:val="006D72D8"/>
    <w:rsid w:val="006D7333"/>
    <w:rsid w:val="006D7906"/>
    <w:rsid w:val="006D7A7E"/>
    <w:rsid w:val="006D7D47"/>
    <w:rsid w:val="006E0392"/>
    <w:rsid w:val="006E0BA1"/>
    <w:rsid w:val="006E108E"/>
    <w:rsid w:val="006E10C2"/>
    <w:rsid w:val="006E12FA"/>
    <w:rsid w:val="006E18AC"/>
    <w:rsid w:val="006E1D81"/>
    <w:rsid w:val="006E2250"/>
    <w:rsid w:val="006E22BA"/>
    <w:rsid w:val="006E23E9"/>
    <w:rsid w:val="006E24F8"/>
    <w:rsid w:val="006E2F13"/>
    <w:rsid w:val="006E2F66"/>
    <w:rsid w:val="006E33BB"/>
    <w:rsid w:val="006E36FB"/>
    <w:rsid w:val="006E3C01"/>
    <w:rsid w:val="006E4BB3"/>
    <w:rsid w:val="006E501B"/>
    <w:rsid w:val="006E51BE"/>
    <w:rsid w:val="006E57EF"/>
    <w:rsid w:val="006E57F2"/>
    <w:rsid w:val="006E5897"/>
    <w:rsid w:val="006E6511"/>
    <w:rsid w:val="006E66F1"/>
    <w:rsid w:val="006E6BB6"/>
    <w:rsid w:val="006E745D"/>
    <w:rsid w:val="006E74C7"/>
    <w:rsid w:val="006E7DD0"/>
    <w:rsid w:val="006F0E3C"/>
    <w:rsid w:val="006F12C4"/>
    <w:rsid w:val="006F12CB"/>
    <w:rsid w:val="006F1BD2"/>
    <w:rsid w:val="006F1E21"/>
    <w:rsid w:val="006F20EC"/>
    <w:rsid w:val="006F21B6"/>
    <w:rsid w:val="006F2AE4"/>
    <w:rsid w:val="006F30CC"/>
    <w:rsid w:val="006F3556"/>
    <w:rsid w:val="006F3557"/>
    <w:rsid w:val="006F42A9"/>
    <w:rsid w:val="006F4B4E"/>
    <w:rsid w:val="006F4C40"/>
    <w:rsid w:val="006F4DA6"/>
    <w:rsid w:val="006F5264"/>
    <w:rsid w:val="006F5406"/>
    <w:rsid w:val="006F5607"/>
    <w:rsid w:val="006F5A55"/>
    <w:rsid w:val="006F5DBD"/>
    <w:rsid w:val="006F61BA"/>
    <w:rsid w:val="006F6239"/>
    <w:rsid w:val="006F662E"/>
    <w:rsid w:val="006F6F25"/>
    <w:rsid w:val="006F7608"/>
    <w:rsid w:val="00700237"/>
    <w:rsid w:val="007005DF"/>
    <w:rsid w:val="007006F1"/>
    <w:rsid w:val="0070098D"/>
    <w:rsid w:val="00701584"/>
    <w:rsid w:val="00701732"/>
    <w:rsid w:val="00701B8D"/>
    <w:rsid w:val="00701CAF"/>
    <w:rsid w:val="00702777"/>
    <w:rsid w:val="00702856"/>
    <w:rsid w:val="00703307"/>
    <w:rsid w:val="007033B6"/>
    <w:rsid w:val="00703488"/>
    <w:rsid w:val="0070414C"/>
    <w:rsid w:val="007048A2"/>
    <w:rsid w:val="00704E05"/>
    <w:rsid w:val="00704E8E"/>
    <w:rsid w:val="00705049"/>
    <w:rsid w:val="007051C5"/>
    <w:rsid w:val="007054DA"/>
    <w:rsid w:val="00705867"/>
    <w:rsid w:val="00705D6B"/>
    <w:rsid w:val="007068B8"/>
    <w:rsid w:val="00706930"/>
    <w:rsid w:val="0070693C"/>
    <w:rsid w:val="0070720A"/>
    <w:rsid w:val="007077EA"/>
    <w:rsid w:val="00707AC7"/>
    <w:rsid w:val="00707CE2"/>
    <w:rsid w:val="00707D51"/>
    <w:rsid w:val="00710822"/>
    <w:rsid w:val="0071084A"/>
    <w:rsid w:val="00710C99"/>
    <w:rsid w:val="0071103B"/>
    <w:rsid w:val="0071131F"/>
    <w:rsid w:val="00711955"/>
    <w:rsid w:val="00711D3B"/>
    <w:rsid w:val="00711F30"/>
    <w:rsid w:val="00712292"/>
    <w:rsid w:val="0071237F"/>
    <w:rsid w:val="00712955"/>
    <w:rsid w:val="00712C1F"/>
    <w:rsid w:val="00713110"/>
    <w:rsid w:val="007138F5"/>
    <w:rsid w:val="00713E63"/>
    <w:rsid w:val="00713FED"/>
    <w:rsid w:val="00714C6B"/>
    <w:rsid w:val="00714E35"/>
    <w:rsid w:val="007159A4"/>
    <w:rsid w:val="00715BF0"/>
    <w:rsid w:val="00715CC4"/>
    <w:rsid w:val="00715D31"/>
    <w:rsid w:val="00715D38"/>
    <w:rsid w:val="00716231"/>
    <w:rsid w:val="00716750"/>
    <w:rsid w:val="0071686A"/>
    <w:rsid w:val="00716B76"/>
    <w:rsid w:val="00716C6F"/>
    <w:rsid w:val="00717180"/>
    <w:rsid w:val="007174DD"/>
    <w:rsid w:val="00717506"/>
    <w:rsid w:val="0071792A"/>
    <w:rsid w:val="00717F4F"/>
    <w:rsid w:val="0072031B"/>
    <w:rsid w:val="00720A65"/>
    <w:rsid w:val="00720B80"/>
    <w:rsid w:val="007210F9"/>
    <w:rsid w:val="007214A8"/>
    <w:rsid w:val="007219F5"/>
    <w:rsid w:val="00721E15"/>
    <w:rsid w:val="00721E87"/>
    <w:rsid w:val="00721F73"/>
    <w:rsid w:val="007222A3"/>
    <w:rsid w:val="0072303C"/>
    <w:rsid w:val="007232D1"/>
    <w:rsid w:val="00723329"/>
    <w:rsid w:val="007233E3"/>
    <w:rsid w:val="00723FED"/>
    <w:rsid w:val="00724228"/>
    <w:rsid w:val="00724372"/>
    <w:rsid w:val="007247A5"/>
    <w:rsid w:val="007248FE"/>
    <w:rsid w:val="007255DC"/>
    <w:rsid w:val="00725BE8"/>
    <w:rsid w:val="007269A4"/>
    <w:rsid w:val="00726AF6"/>
    <w:rsid w:val="00726BBF"/>
    <w:rsid w:val="00726FA4"/>
    <w:rsid w:val="00727B05"/>
    <w:rsid w:val="00727C63"/>
    <w:rsid w:val="00727FE8"/>
    <w:rsid w:val="007300CA"/>
    <w:rsid w:val="007306DE"/>
    <w:rsid w:val="0073191E"/>
    <w:rsid w:val="00731ED1"/>
    <w:rsid w:val="00732470"/>
    <w:rsid w:val="00732CA3"/>
    <w:rsid w:val="00733D13"/>
    <w:rsid w:val="0073452C"/>
    <w:rsid w:val="0073453B"/>
    <w:rsid w:val="00734767"/>
    <w:rsid w:val="007347DC"/>
    <w:rsid w:val="00735021"/>
    <w:rsid w:val="00735233"/>
    <w:rsid w:val="00735527"/>
    <w:rsid w:val="00735BE8"/>
    <w:rsid w:val="00736040"/>
    <w:rsid w:val="00736364"/>
    <w:rsid w:val="007366C2"/>
    <w:rsid w:val="00736A79"/>
    <w:rsid w:val="00737942"/>
    <w:rsid w:val="00737D57"/>
    <w:rsid w:val="00737F81"/>
    <w:rsid w:val="0074026B"/>
    <w:rsid w:val="00740330"/>
    <w:rsid w:val="00740EE1"/>
    <w:rsid w:val="0074160B"/>
    <w:rsid w:val="00741B8D"/>
    <w:rsid w:val="00741EF4"/>
    <w:rsid w:val="00741FDB"/>
    <w:rsid w:val="007425C8"/>
    <w:rsid w:val="007428DD"/>
    <w:rsid w:val="00742C9B"/>
    <w:rsid w:val="00742E34"/>
    <w:rsid w:val="00743044"/>
    <w:rsid w:val="00743141"/>
    <w:rsid w:val="0074347C"/>
    <w:rsid w:val="007437C8"/>
    <w:rsid w:val="00743862"/>
    <w:rsid w:val="0074396A"/>
    <w:rsid w:val="00743990"/>
    <w:rsid w:val="00743BD0"/>
    <w:rsid w:val="00743DEB"/>
    <w:rsid w:val="0074447A"/>
    <w:rsid w:val="00744CB8"/>
    <w:rsid w:val="00745403"/>
    <w:rsid w:val="007455CD"/>
    <w:rsid w:val="007455DA"/>
    <w:rsid w:val="0074598C"/>
    <w:rsid w:val="00746143"/>
    <w:rsid w:val="007462E8"/>
    <w:rsid w:val="0074646C"/>
    <w:rsid w:val="007464C3"/>
    <w:rsid w:val="00746577"/>
    <w:rsid w:val="007465BF"/>
    <w:rsid w:val="0074694B"/>
    <w:rsid w:val="00746B36"/>
    <w:rsid w:val="00746C20"/>
    <w:rsid w:val="00746FD1"/>
    <w:rsid w:val="00747112"/>
    <w:rsid w:val="00747336"/>
    <w:rsid w:val="00747875"/>
    <w:rsid w:val="00747D27"/>
    <w:rsid w:val="0075023B"/>
    <w:rsid w:val="007508EF"/>
    <w:rsid w:val="00750B7B"/>
    <w:rsid w:val="00750D10"/>
    <w:rsid w:val="00750D16"/>
    <w:rsid w:val="00750E67"/>
    <w:rsid w:val="00751087"/>
    <w:rsid w:val="0075150A"/>
    <w:rsid w:val="00751529"/>
    <w:rsid w:val="00751870"/>
    <w:rsid w:val="007523A3"/>
    <w:rsid w:val="0075263D"/>
    <w:rsid w:val="00753138"/>
    <w:rsid w:val="0075344D"/>
    <w:rsid w:val="00753715"/>
    <w:rsid w:val="00753DC7"/>
    <w:rsid w:val="00753EAF"/>
    <w:rsid w:val="007546F5"/>
    <w:rsid w:val="0075482E"/>
    <w:rsid w:val="00754E3C"/>
    <w:rsid w:val="007552C1"/>
    <w:rsid w:val="0075530F"/>
    <w:rsid w:val="00755D85"/>
    <w:rsid w:val="0075603F"/>
    <w:rsid w:val="0075605D"/>
    <w:rsid w:val="00756680"/>
    <w:rsid w:val="0075671D"/>
    <w:rsid w:val="00756D22"/>
    <w:rsid w:val="007574DC"/>
    <w:rsid w:val="00757712"/>
    <w:rsid w:val="007577AA"/>
    <w:rsid w:val="00757E0F"/>
    <w:rsid w:val="00757EAF"/>
    <w:rsid w:val="00757F2B"/>
    <w:rsid w:val="0076081B"/>
    <w:rsid w:val="0076092E"/>
    <w:rsid w:val="00761185"/>
    <w:rsid w:val="00761316"/>
    <w:rsid w:val="0076135E"/>
    <w:rsid w:val="007613B6"/>
    <w:rsid w:val="00762C32"/>
    <w:rsid w:val="00762E86"/>
    <w:rsid w:val="007630E6"/>
    <w:rsid w:val="00763138"/>
    <w:rsid w:val="0076350A"/>
    <w:rsid w:val="00763E83"/>
    <w:rsid w:val="0076424C"/>
    <w:rsid w:val="00764408"/>
    <w:rsid w:val="00764DAE"/>
    <w:rsid w:val="00764E63"/>
    <w:rsid w:val="00765661"/>
    <w:rsid w:val="007657DA"/>
    <w:rsid w:val="00765B75"/>
    <w:rsid w:val="00765F81"/>
    <w:rsid w:val="00766397"/>
    <w:rsid w:val="00766A15"/>
    <w:rsid w:val="00766B64"/>
    <w:rsid w:val="0076711A"/>
    <w:rsid w:val="007676C8"/>
    <w:rsid w:val="00767A73"/>
    <w:rsid w:val="00767D77"/>
    <w:rsid w:val="00767FFE"/>
    <w:rsid w:val="00770394"/>
    <w:rsid w:val="00770422"/>
    <w:rsid w:val="00770504"/>
    <w:rsid w:val="00770E5C"/>
    <w:rsid w:val="0077134A"/>
    <w:rsid w:val="00771428"/>
    <w:rsid w:val="00771687"/>
    <w:rsid w:val="007717EE"/>
    <w:rsid w:val="00771B55"/>
    <w:rsid w:val="007722AF"/>
    <w:rsid w:val="00772BE5"/>
    <w:rsid w:val="00772D60"/>
    <w:rsid w:val="00772F2B"/>
    <w:rsid w:val="007731C1"/>
    <w:rsid w:val="00773536"/>
    <w:rsid w:val="00773EA9"/>
    <w:rsid w:val="0077402C"/>
    <w:rsid w:val="007740A7"/>
    <w:rsid w:val="007742E4"/>
    <w:rsid w:val="0077455A"/>
    <w:rsid w:val="0077526C"/>
    <w:rsid w:val="007759F6"/>
    <w:rsid w:val="00775E3D"/>
    <w:rsid w:val="0077659F"/>
    <w:rsid w:val="00777174"/>
    <w:rsid w:val="007771D8"/>
    <w:rsid w:val="007774A5"/>
    <w:rsid w:val="00777A7F"/>
    <w:rsid w:val="00777C92"/>
    <w:rsid w:val="0078054B"/>
    <w:rsid w:val="0078062F"/>
    <w:rsid w:val="00780AE3"/>
    <w:rsid w:val="00781446"/>
    <w:rsid w:val="007825D4"/>
    <w:rsid w:val="00782D0C"/>
    <w:rsid w:val="00782DF5"/>
    <w:rsid w:val="00783A42"/>
    <w:rsid w:val="00784139"/>
    <w:rsid w:val="007842BB"/>
    <w:rsid w:val="0078445D"/>
    <w:rsid w:val="00784D04"/>
    <w:rsid w:val="0078532B"/>
    <w:rsid w:val="0078537B"/>
    <w:rsid w:val="0078551A"/>
    <w:rsid w:val="00785852"/>
    <w:rsid w:val="00785924"/>
    <w:rsid w:val="00786266"/>
    <w:rsid w:val="00786274"/>
    <w:rsid w:val="007867B5"/>
    <w:rsid w:val="007867E9"/>
    <w:rsid w:val="00786A3C"/>
    <w:rsid w:val="00786AEA"/>
    <w:rsid w:val="00787288"/>
    <w:rsid w:val="00787691"/>
    <w:rsid w:val="007877FC"/>
    <w:rsid w:val="00787BAD"/>
    <w:rsid w:val="00787CAC"/>
    <w:rsid w:val="007901E7"/>
    <w:rsid w:val="00790278"/>
    <w:rsid w:val="0079031C"/>
    <w:rsid w:val="007910E4"/>
    <w:rsid w:val="0079173C"/>
    <w:rsid w:val="00792582"/>
    <w:rsid w:val="007925FE"/>
    <w:rsid w:val="00792705"/>
    <w:rsid w:val="00793228"/>
    <w:rsid w:val="0079344B"/>
    <w:rsid w:val="00794510"/>
    <w:rsid w:val="00794632"/>
    <w:rsid w:val="007946D8"/>
    <w:rsid w:val="007949F6"/>
    <w:rsid w:val="00794CF9"/>
    <w:rsid w:val="00794DB2"/>
    <w:rsid w:val="00794EE5"/>
    <w:rsid w:val="00795453"/>
    <w:rsid w:val="00795558"/>
    <w:rsid w:val="007955CD"/>
    <w:rsid w:val="00795B96"/>
    <w:rsid w:val="00796320"/>
    <w:rsid w:val="007968DB"/>
    <w:rsid w:val="00796AB6"/>
    <w:rsid w:val="0079728C"/>
    <w:rsid w:val="00797B06"/>
    <w:rsid w:val="00797B8E"/>
    <w:rsid w:val="00797D03"/>
    <w:rsid w:val="007A0118"/>
    <w:rsid w:val="007A04BF"/>
    <w:rsid w:val="007A0850"/>
    <w:rsid w:val="007A08DA"/>
    <w:rsid w:val="007A0B34"/>
    <w:rsid w:val="007A1D32"/>
    <w:rsid w:val="007A1D67"/>
    <w:rsid w:val="007A1F14"/>
    <w:rsid w:val="007A2191"/>
    <w:rsid w:val="007A253D"/>
    <w:rsid w:val="007A2572"/>
    <w:rsid w:val="007A28AF"/>
    <w:rsid w:val="007A2ABC"/>
    <w:rsid w:val="007A2E53"/>
    <w:rsid w:val="007A3738"/>
    <w:rsid w:val="007A41CE"/>
    <w:rsid w:val="007A454F"/>
    <w:rsid w:val="007A4796"/>
    <w:rsid w:val="007A4CC1"/>
    <w:rsid w:val="007A4E67"/>
    <w:rsid w:val="007A5096"/>
    <w:rsid w:val="007A592F"/>
    <w:rsid w:val="007A5A33"/>
    <w:rsid w:val="007A5A74"/>
    <w:rsid w:val="007A5EB9"/>
    <w:rsid w:val="007A5EC7"/>
    <w:rsid w:val="007A642D"/>
    <w:rsid w:val="007A64EA"/>
    <w:rsid w:val="007A6536"/>
    <w:rsid w:val="007A7497"/>
    <w:rsid w:val="007A7675"/>
    <w:rsid w:val="007A7829"/>
    <w:rsid w:val="007A799E"/>
    <w:rsid w:val="007B0061"/>
    <w:rsid w:val="007B0488"/>
    <w:rsid w:val="007B0769"/>
    <w:rsid w:val="007B0C52"/>
    <w:rsid w:val="007B19C3"/>
    <w:rsid w:val="007B1E3E"/>
    <w:rsid w:val="007B1FA9"/>
    <w:rsid w:val="007B2206"/>
    <w:rsid w:val="007B28B0"/>
    <w:rsid w:val="007B32C8"/>
    <w:rsid w:val="007B333B"/>
    <w:rsid w:val="007B3EE2"/>
    <w:rsid w:val="007B3FFB"/>
    <w:rsid w:val="007B436D"/>
    <w:rsid w:val="007B4662"/>
    <w:rsid w:val="007B535E"/>
    <w:rsid w:val="007B53BD"/>
    <w:rsid w:val="007B57C7"/>
    <w:rsid w:val="007B58A6"/>
    <w:rsid w:val="007B61AC"/>
    <w:rsid w:val="007B6448"/>
    <w:rsid w:val="007B68A5"/>
    <w:rsid w:val="007B69C4"/>
    <w:rsid w:val="007B6CEE"/>
    <w:rsid w:val="007B71AD"/>
    <w:rsid w:val="007B7481"/>
    <w:rsid w:val="007B78DA"/>
    <w:rsid w:val="007B7945"/>
    <w:rsid w:val="007B7CA5"/>
    <w:rsid w:val="007C0ADB"/>
    <w:rsid w:val="007C0D0F"/>
    <w:rsid w:val="007C12AC"/>
    <w:rsid w:val="007C13A6"/>
    <w:rsid w:val="007C1941"/>
    <w:rsid w:val="007C19EB"/>
    <w:rsid w:val="007C1CD2"/>
    <w:rsid w:val="007C1DA9"/>
    <w:rsid w:val="007C2098"/>
    <w:rsid w:val="007C20B2"/>
    <w:rsid w:val="007C2473"/>
    <w:rsid w:val="007C328D"/>
    <w:rsid w:val="007C3342"/>
    <w:rsid w:val="007C3911"/>
    <w:rsid w:val="007C3CBF"/>
    <w:rsid w:val="007C4046"/>
    <w:rsid w:val="007C43FC"/>
    <w:rsid w:val="007C46E6"/>
    <w:rsid w:val="007C487F"/>
    <w:rsid w:val="007C48A1"/>
    <w:rsid w:val="007C4EFB"/>
    <w:rsid w:val="007C5F62"/>
    <w:rsid w:val="007C656C"/>
    <w:rsid w:val="007C67AA"/>
    <w:rsid w:val="007C6F41"/>
    <w:rsid w:val="007C7689"/>
    <w:rsid w:val="007C769C"/>
    <w:rsid w:val="007D032E"/>
    <w:rsid w:val="007D0A88"/>
    <w:rsid w:val="007D0B5C"/>
    <w:rsid w:val="007D1165"/>
    <w:rsid w:val="007D11EE"/>
    <w:rsid w:val="007D14A8"/>
    <w:rsid w:val="007D2036"/>
    <w:rsid w:val="007D255E"/>
    <w:rsid w:val="007D2602"/>
    <w:rsid w:val="007D2A09"/>
    <w:rsid w:val="007D2D40"/>
    <w:rsid w:val="007D3525"/>
    <w:rsid w:val="007D3BE7"/>
    <w:rsid w:val="007D3D43"/>
    <w:rsid w:val="007D3D62"/>
    <w:rsid w:val="007D45E6"/>
    <w:rsid w:val="007D5616"/>
    <w:rsid w:val="007D5856"/>
    <w:rsid w:val="007D5905"/>
    <w:rsid w:val="007D5C0F"/>
    <w:rsid w:val="007D6375"/>
    <w:rsid w:val="007D6564"/>
    <w:rsid w:val="007D6A27"/>
    <w:rsid w:val="007D6F1A"/>
    <w:rsid w:val="007D7C7A"/>
    <w:rsid w:val="007D7F30"/>
    <w:rsid w:val="007E0165"/>
    <w:rsid w:val="007E05F1"/>
    <w:rsid w:val="007E07C2"/>
    <w:rsid w:val="007E1A45"/>
    <w:rsid w:val="007E283F"/>
    <w:rsid w:val="007E3149"/>
    <w:rsid w:val="007E47A0"/>
    <w:rsid w:val="007E47C1"/>
    <w:rsid w:val="007E4D54"/>
    <w:rsid w:val="007E59A8"/>
    <w:rsid w:val="007E611A"/>
    <w:rsid w:val="007E6439"/>
    <w:rsid w:val="007E64A7"/>
    <w:rsid w:val="007E689A"/>
    <w:rsid w:val="007E6D40"/>
    <w:rsid w:val="007E6D67"/>
    <w:rsid w:val="007E72A2"/>
    <w:rsid w:val="007E7700"/>
    <w:rsid w:val="007E7C81"/>
    <w:rsid w:val="007E7CC7"/>
    <w:rsid w:val="007E7EDA"/>
    <w:rsid w:val="007F084F"/>
    <w:rsid w:val="007F12FB"/>
    <w:rsid w:val="007F16CC"/>
    <w:rsid w:val="007F1870"/>
    <w:rsid w:val="007F1CD3"/>
    <w:rsid w:val="007F205D"/>
    <w:rsid w:val="007F2B57"/>
    <w:rsid w:val="007F348B"/>
    <w:rsid w:val="007F369F"/>
    <w:rsid w:val="007F3710"/>
    <w:rsid w:val="007F3757"/>
    <w:rsid w:val="007F37B8"/>
    <w:rsid w:val="007F3B3A"/>
    <w:rsid w:val="007F3DB9"/>
    <w:rsid w:val="007F42E5"/>
    <w:rsid w:val="007F465A"/>
    <w:rsid w:val="007F4DA1"/>
    <w:rsid w:val="007F539C"/>
    <w:rsid w:val="007F55A4"/>
    <w:rsid w:val="007F55AD"/>
    <w:rsid w:val="007F580D"/>
    <w:rsid w:val="007F628B"/>
    <w:rsid w:val="007F67BA"/>
    <w:rsid w:val="007F6B63"/>
    <w:rsid w:val="007F6D82"/>
    <w:rsid w:val="007F6E70"/>
    <w:rsid w:val="00800273"/>
    <w:rsid w:val="00800334"/>
    <w:rsid w:val="00800B48"/>
    <w:rsid w:val="00800CC1"/>
    <w:rsid w:val="0080180A"/>
    <w:rsid w:val="00801E0C"/>
    <w:rsid w:val="008020E8"/>
    <w:rsid w:val="008024D4"/>
    <w:rsid w:val="0080289C"/>
    <w:rsid w:val="008030DE"/>
    <w:rsid w:val="0080341E"/>
    <w:rsid w:val="00803D42"/>
    <w:rsid w:val="00803F92"/>
    <w:rsid w:val="008041BF"/>
    <w:rsid w:val="00804430"/>
    <w:rsid w:val="008044D5"/>
    <w:rsid w:val="008046A7"/>
    <w:rsid w:val="00805F5F"/>
    <w:rsid w:val="008063C4"/>
    <w:rsid w:val="008065EE"/>
    <w:rsid w:val="00806B52"/>
    <w:rsid w:val="00806F88"/>
    <w:rsid w:val="00807199"/>
    <w:rsid w:val="0080778F"/>
    <w:rsid w:val="008078FA"/>
    <w:rsid w:val="0080794B"/>
    <w:rsid w:val="00807A1D"/>
    <w:rsid w:val="00807EDD"/>
    <w:rsid w:val="00807FC8"/>
    <w:rsid w:val="00810E31"/>
    <w:rsid w:val="00811C3A"/>
    <w:rsid w:val="00812402"/>
    <w:rsid w:val="008125F3"/>
    <w:rsid w:val="008129DC"/>
    <w:rsid w:val="00813163"/>
    <w:rsid w:val="00813391"/>
    <w:rsid w:val="008137C4"/>
    <w:rsid w:val="0081392D"/>
    <w:rsid w:val="00813F6F"/>
    <w:rsid w:val="00814CCB"/>
    <w:rsid w:val="008150FE"/>
    <w:rsid w:val="008151F1"/>
    <w:rsid w:val="00815586"/>
    <w:rsid w:val="00815DDC"/>
    <w:rsid w:val="00815E9B"/>
    <w:rsid w:val="0081684A"/>
    <w:rsid w:val="008169AB"/>
    <w:rsid w:val="00816FD7"/>
    <w:rsid w:val="0081732F"/>
    <w:rsid w:val="0081738C"/>
    <w:rsid w:val="00817653"/>
    <w:rsid w:val="00817C96"/>
    <w:rsid w:val="00817EE7"/>
    <w:rsid w:val="008201A3"/>
    <w:rsid w:val="0082044E"/>
    <w:rsid w:val="00820B7B"/>
    <w:rsid w:val="00820D86"/>
    <w:rsid w:val="00821343"/>
    <w:rsid w:val="008215AE"/>
    <w:rsid w:val="00821E71"/>
    <w:rsid w:val="00821F30"/>
    <w:rsid w:val="00821F3A"/>
    <w:rsid w:val="008225C7"/>
    <w:rsid w:val="00823158"/>
    <w:rsid w:val="0082354A"/>
    <w:rsid w:val="0082382F"/>
    <w:rsid w:val="0082393A"/>
    <w:rsid w:val="00823B04"/>
    <w:rsid w:val="0082419B"/>
    <w:rsid w:val="008243BE"/>
    <w:rsid w:val="008246F8"/>
    <w:rsid w:val="00824748"/>
    <w:rsid w:val="00824D6D"/>
    <w:rsid w:val="00825146"/>
    <w:rsid w:val="008254FA"/>
    <w:rsid w:val="00825621"/>
    <w:rsid w:val="00825CC2"/>
    <w:rsid w:val="008262CA"/>
    <w:rsid w:val="00826398"/>
    <w:rsid w:val="0082644B"/>
    <w:rsid w:val="0082719C"/>
    <w:rsid w:val="0082740D"/>
    <w:rsid w:val="00827813"/>
    <w:rsid w:val="008279AA"/>
    <w:rsid w:val="00827BE5"/>
    <w:rsid w:val="00827DF4"/>
    <w:rsid w:val="008309B7"/>
    <w:rsid w:val="00830D2D"/>
    <w:rsid w:val="00830E4A"/>
    <w:rsid w:val="0083152B"/>
    <w:rsid w:val="00831635"/>
    <w:rsid w:val="00831691"/>
    <w:rsid w:val="0083236A"/>
    <w:rsid w:val="00832447"/>
    <w:rsid w:val="00832637"/>
    <w:rsid w:val="00832806"/>
    <w:rsid w:val="00833C37"/>
    <w:rsid w:val="00833FBD"/>
    <w:rsid w:val="00834039"/>
    <w:rsid w:val="00834459"/>
    <w:rsid w:val="0083487B"/>
    <w:rsid w:val="00834CED"/>
    <w:rsid w:val="008353B2"/>
    <w:rsid w:val="008355ED"/>
    <w:rsid w:val="00835C61"/>
    <w:rsid w:val="008360D1"/>
    <w:rsid w:val="008365DD"/>
    <w:rsid w:val="0083668D"/>
    <w:rsid w:val="008367DD"/>
    <w:rsid w:val="008368CB"/>
    <w:rsid w:val="00836A12"/>
    <w:rsid w:val="00836CD5"/>
    <w:rsid w:val="008374B1"/>
    <w:rsid w:val="00837D36"/>
    <w:rsid w:val="00837D7A"/>
    <w:rsid w:val="008401F7"/>
    <w:rsid w:val="0084062B"/>
    <w:rsid w:val="00840913"/>
    <w:rsid w:val="0084106A"/>
    <w:rsid w:val="008416DB"/>
    <w:rsid w:val="00841F0F"/>
    <w:rsid w:val="008422C1"/>
    <w:rsid w:val="00842552"/>
    <w:rsid w:val="00842AE9"/>
    <w:rsid w:val="008432F9"/>
    <w:rsid w:val="0084350B"/>
    <w:rsid w:val="00843860"/>
    <w:rsid w:val="00843C1A"/>
    <w:rsid w:val="00844964"/>
    <w:rsid w:val="00844B67"/>
    <w:rsid w:val="00845256"/>
    <w:rsid w:val="00845543"/>
    <w:rsid w:val="008455DD"/>
    <w:rsid w:val="008458B7"/>
    <w:rsid w:val="00845A6E"/>
    <w:rsid w:val="00845B00"/>
    <w:rsid w:val="00845EF3"/>
    <w:rsid w:val="00845F1B"/>
    <w:rsid w:val="008473C6"/>
    <w:rsid w:val="0085034D"/>
    <w:rsid w:val="00850834"/>
    <w:rsid w:val="0085120C"/>
    <w:rsid w:val="008516B3"/>
    <w:rsid w:val="0085191E"/>
    <w:rsid w:val="00851F05"/>
    <w:rsid w:val="00851F70"/>
    <w:rsid w:val="00852002"/>
    <w:rsid w:val="00852035"/>
    <w:rsid w:val="0085297D"/>
    <w:rsid w:val="00853175"/>
    <w:rsid w:val="008535A5"/>
    <w:rsid w:val="00853879"/>
    <w:rsid w:val="00853962"/>
    <w:rsid w:val="00853B7C"/>
    <w:rsid w:val="00854132"/>
    <w:rsid w:val="00854474"/>
    <w:rsid w:val="00855842"/>
    <w:rsid w:val="00856086"/>
    <w:rsid w:val="00856C8E"/>
    <w:rsid w:val="0085755D"/>
    <w:rsid w:val="00857571"/>
    <w:rsid w:val="0085790A"/>
    <w:rsid w:val="00857A5A"/>
    <w:rsid w:val="0086090F"/>
    <w:rsid w:val="00860C71"/>
    <w:rsid w:val="00861393"/>
    <w:rsid w:val="0086174C"/>
    <w:rsid w:val="00861D4E"/>
    <w:rsid w:val="00863C42"/>
    <w:rsid w:val="00863C68"/>
    <w:rsid w:val="00863D13"/>
    <w:rsid w:val="0086423C"/>
    <w:rsid w:val="008650D7"/>
    <w:rsid w:val="00865616"/>
    <w:rsid w:val="0086635C"/>
    <w:rsid w:val="008668F0"/>
    <w:rsid w:val="00866E33"/>
    <w:rsid w:val="00867406"/>
    <w:rsid w:val="00867941"/>
    <w:rsid w:val="00867AB6"/>
    <w:rsid w:val="0087008C"/>
    <w:rsid w:val="0087091D"/>
    <w:rsid w:val="00870A17"/>
    <w:rsid w:val="00870A60"/>
    <w:rsid w:val="00870C92"/>
    <w:rsid w:val="00870F0D"/>
    <w:rsid w:val="00870F63"/>
    <w:rsid w:val="00871350"/>
    <w:rsid w:val="00871512"/>
    <w:rsid w:val="008716DB"/>
    <w:rsid w:val="008717B3"/>
    <w:rsid w:val="008717C6"/>
    <w:rsid w:val="00871EC0"/>
    <w:rsid w:val="00872331"/>
    <w:rsid w:val="00872356"/>
    <w:rsid w:val="008725FF"/>
    <w:rsid w:val="00872988"/>
    <w:rsid w:val="00872DD1"/>
    <w:rsid w:val="008733C0"/>
    <w:rsid w:val="00873423"/>
    <w:rsid w:val="00873E30"/>
    <w:rsid w:val="00873FD4"/>
    <w:rsid w:val="008742E3"/>
    <w:rsid w:val="00874991"/>
    <w:rsid w:val="00874C13"/>
    <w:rsid w:val="00875125"/>
    <w:rsid w:val="008753E8"/>
    <w:rsid w:val="00875891"/>
    <w:rsid w:val="00875CC4"/>
    <w:rsid w:val="008762E5"/>
    <w:rsid w:val="00876410"/>
    <w:rsid w:val="00876F90"/>
    <w:rsid w:val="0087749E"/>
    <w:rsid w:val="008774F1"/>
    <w:rsid w:val="0087776A"/>
    <w:rsid w:val="008777D4"/>
    <w:rsid w:val="00877902"/>
    <w:rsid w:val="00880026"/>
    <w:rsid w:val="00880215"/>
    <w:rsid w:val="008807F8"/>
    <w:rsid w:val="00880A2A"/>
    <w:rsid w:val="00880BC4"/>
    <w:rsid w:val="00880E34"/>
    <w:rsid w:val="00881037"/>
    <w:rsid w:val="00881603"/>
    <w:rsid w:val="00881625"/>
    <w:rsid w:val="008819EF"/>
    <w:rsid w:val="00881BC4"/>
    <w:rsid w:val="00881DAC"/>
    <w:rsid w:val="00881EE7"/>
    <w:rsid w:val="00882336"/>
    <w:rsid w:val="0088288D"/>
    <w:rsid w:val="00882C37"/>
    <w:rsid w:val="0088304A"/>
    <w:rsid w:val="008832C8"/>
    <w:rsid w:val="00883769"/>
    <w:rsid w:val="008838B7"/>
    <w:rsid w:val="00883B7E"/>
    <w:rsid w:val="008841C0"/>
    <w:rsid w:val="008842C7"/>
    <w:rsid w:val="008844B7"/>
    <w:rsid w:val="00884E57"/>
    <w:rsid w:val="00885745"/>
    <w:rsid w:val="00885AD2"/>
    <w:rsid w:val="00886406"/>
    <w:rsid w:val="00886EC4"/>
    <w:rsid w:val="008876ED"/>
    <w:rsid w:val="008878D2"/>
    <w:rsid w:val="008908A8"/>
    <w:rsid w:val="00890EEA"/>
    <w:rsid w:val="00891A18"/>
    <w:rsid w:val="00892152"/>
    <w:rsid w:val="0089240C"/>
    <w:rsid w:val="00892C80"/>
    <w:rsid w:val="00892D22"/>
    <w:rsid w:val="008937BB"/>
    <w:rsid w:val="00893D41"/>
    <w:rsid w:val="00893D76"/>
    <w:rsid w:val="008949BF"/>
    <w:rsid w:val="00894C45"/>
    <w:rsid w:val="00894D8E"/>
    <w:rsid w:val="00895D72"/>
    <w:rsid w:val="00896639"/>
    <w:rsid w:val="008968DB"/>
    <w:rsid w:val="0089696B"/>
    <w:rsid w:val="008969E7"/>
    <w:rsid w:val="00896AD0"/>
    <w:rsid w:val="00896F87"/>
    <w:rsid w:val="00897374"/>
    <w:rsid w:val="00897637"/>
    <w:rsid w:val="008A044C"/>
    <w:rsid w:val="008A0E41"/>
    <w:rsid w:val="008A16DA"/>
    <w:rsid w:val="008A1B39"/>
    <w:rsid w:val="008A1D74"/>
    <w:rsid w:val="008A22BD"/>
    <w:rsid w:val="008A2B32"/>
    <w:rsid w:val="008A2B3B"/>
    <w:rsid w:val="008A33A4"/>
    <w:rsid w:val="008A38FA"/>
    <w:rsid w:val="008A4E27"/>
    <w:rsid w:val="008A4F37"/>
    <w:rsid w:val="008A55A4"/>
    <w:rsid w:val="008A5871"/>
    <w:rsid w:val="008A5AFA"/>
    <w:rsid w:val="008A5CD4"/>
    <w:rsid w:val="008A6309"/>
    <w:rsid w:val="008A6344"/>
    <w:rsid w:val="008A6544"/>
    <w:rsid w:val="008B076F"/>
    <w:rsid w:val="008B07F0"/>
    <w:rsid w:val="008B0C4C"/>
    <w:rsid w:val="008B113A"/>
    <w:rsid w:val="008B1960"/>
    <w:rsid w:val="008B1C16"/>
    <w:rsid w:val="008B20F1"/>
    <w:rsid w:val="008B22EA"/>
    <w:rsid w:val="008B2433"/>
    <w:rsid w:val="008B2BDB"/>
    <w:rsid w:val="008B322F"/>
    <w:rsid w:val="008B3B12"/>
    <w:rsid w:val="008B3CDD"/>
    <w:rsid w:val="008B3E2A"/>
    <w:rsid w:val="008B407B"/>
    <w:rsid w:val="008B423E"/>
    <w:rsid w:val="008B4394"/>
    <w:rsid w:val="008B46C1"/>
    <w:rsid w:val="008B4D3D"/>
    <w:rsid w:val="008B4E3A"/>
    <w:rsid w:val="008B4ED6"/>
    <w:rsid w:val="008B5526"/>
    <w:rsid w:val="008B58DC"/>
    <w:rsid w:val="008B5B77"/>
    <w:rsid w:val="008B5BE2"/>
    <w:rsid w:val="008B5E73"/>
    <w:rsid w:val="008B64FF"/>
    <w:rsid w:val="008B6E94"/>
    <w:rsid w:val="008B7160"/>
    <w:rsid w:val="008B7904"/>
    <w:rsid w:val="008B7B97"/>
    <w:rsid w:val="008B7E73"/>
    <w:rsid w:val="008B7F25"/>
    <w:rsid w:val="008C0C46"/>
    <w:rsid w:val="008C0F51"/>
    <w:rsid w:val="008C1A56"/>
    <w:rsid w:val="008C1A61"/>
    <w:rsid w:val="008C1A70"/>
    <w:rsid w:val="008C2292"/>
    <w:rsid w:val="008C22B9"/>
    <w:rsid w:val="008C2A63"/>
    <w:rsid w:val="008C2D9E"/>
    <w:rsid w:val="008C30BF"/>
    <w:rsid w:val="008C31C3"/>
    <w:rsid w:val="008C32CB"/>
    <w:rsid w:val="008C36C8"/>
    <w:rsid w:val="008C3A34"/>
    <w:rsid w:val="008C3CB4"/>
    <w:rsid w:val="008C4CF4"/>
    <w:rsid w:val="008C5745"/>
    <w:rsid w:val="008C5909"/>
    <w:rsid w:val="008C5993"/>
    <w:rsid w:val="008C5B6B"/>
    <w:rsid w:val="008C63E2"/>
    <w:rsid w:val="008C67AB"/>
    <w:rsid w:val="008C6E84"/>
    <w:rsid w:val="008C6ECB"/>
    <w:rsid w:val="008C752C"/>
    <w:rsid w:val="008C7A9C"/>
    <w:rsid w:val="008C7C80"/>
    <w:rsid w:val="008D02FE"/>
    <w:rsid w:val="008D073B"/>
    <w:rsid w:val="008D12F1"/>
    <w:rsid w:val="008D13B7"/>
    <w:rsid w:val="008D15B6"/>
    <w:rsid w:val="008D185E"/>
    <w:rsid w:val="008D1AAB"/>
    <w:rsid w:val="008D2023"/>
    <w:rsid w:val="008D22AB"/>
    <w:rsid w:val="008D27A5"/>
    <w:rsid w:val="008D2E36"/>
    <w:rsid w:val="008D32BE"/>
    <w:rsid w:val="008D34C6"/>
    <w:rsid w:val="008D36A0"/>
    <w:rsid w:val="008D3703"/>
    <w:rsid w:val="008D40E3"/>
    <w:rsid w:val="008D43EC"/>
    <w:rsid w:val="008D4ABB"/>
    <w:rsid w:val="008D4D2A"/>
    <w:rsid w:val="008D532C"/>
    <w:rsid w:val="008D55BA"/>
    <w:rsid w:val="008D685E"/>
    <w:rsid w:val="008D6FEF"/>
    <w:rsid w:val="008D71B2"/>
    <w:rsid w:val="008D7422"/>
    <w:rsid w:val="008D76E6"/>
    <w:rsid w:val="008D7847"/>
    <w:rsid w:val="008D7B66"/>
    <w:rsid w:val="008D7DA2"/>
    <w:rsid w:val="008D7F84"/>
    <w:rsid w:val="008E002C"/>
    <w:rsid w:val="008E042E"/>
    <w:rsid w:val="008E07B3"/>
    <w:rsid w:val="008E0CAA"/>
    <w:rsid w:val="008E1AB2"/>
    <w:rsid w:val="008E2193"/>
    <w:rsid w:val="008E3095"/>
    <w:rsid w:val="008E33B9"/>
    <w:rsid w:val="008E3653"/>
    <w:rsid w:val="008E391A"/>
    <w:rsid w:val="008E3D38"/>
    <w:rsid w:val="008E405A"/>
    <w:rsid w:val="008E4E6F"/>
    <w:rsid w:val="008E513C"/>
    <w:rsid w:val="008E549D"/>
    <w:rsid w:val="008E69BA"/>
    <w:rsid w:val="008E69C1"/>
    <w:rsid w:val="008E6AEA"/>
    <w:rsid w:val="008E6F74"/>
    <w:rsid w:val="008E70C7"/>
    <w:rsid w:val="008E73D0"/>
    <w:rsid w:val="008E79CE"/>
    <w:rsid w:val="008F0262"/>
    <w:rsid w:val="008F030A"/>
    <w:rsid w:val="008F04DD"/>
    <w:rsid w:val="008F0A58"/>
    <w:rsid w:val="008F0FCB"/>
    <w:rsid w:val="008F1621"/>
    <w:rsid w:val="008F17AC"/>
    <w:rsid w:val="008F23C9"/>
    <w:rsid w:val="008F2B2F"/>
    <w:rsid w:val="008F2F99"/>
    <w:rsid w:val="008F3766"/>
    <w:rsid w:val="008F3E90"/>
    <w:rsid w:val="008F3F97"/>
    <w:rsid w:val="008F4265"/>
    <w:rsid w:val="008F4332"/>
    <w:rsid w:val="008F471B"/>
    <w:rsid w:val="008F48AD"/>
    <w:rsid w:val="008F4FFB"/>
    <w:rsid w:val="008F5193"/>
    <w:rsid w:val="008F572C"/>
    <w:rsid w:val="008F5A8F"/>
    <w:rsid w:val="008F6064"/>
    <w:rsid w:val="008F620B"/>
    <w:rsid w:val="008F6949"/>
    <w:rsid w:val="008F6F33"/>
    <w:rsid w:val="008F7574"/>
    <w:rsid w:val="008F7ADD"/>
    <w:rsid w:val="008F7B6D"/>
    <w:rsid w:val="008F7EBE"/>
    <w:rsid w:val="008F7F2B"/>
    <w:rsid w:val="0090010B"/>
    <w:rsid w:val="00900493"/>
    <w:rsid w:val="0090057F"/>
    <w:rsid w:val="0090067D"/>
    <w:rsid w:val="00901122"/>
    <w:rsid w:val="00901734"/>
    <w:rsid w:val="009018A0"/>
    <w:rsid w:val="00901A70"/>
    <w:rsid w:val="00901A73"/>
    <w:rsid w:val="00901AE7"/>
    <w:rsid w:val="00902ECC"/>
    <w:rsid w:val="00902F9B"/>
    <w:rsid w:val="0090303B"/>
    <w:rsid w:val="00903441"/>
    <w:rsid w:val="00903A31"/>
    <w:rsid w:val="00903AFA"/>
    <w:rsid w:val="00903B12"/>
    <w:rsid w:val="00903CED"/>
    <w:rsid w:val="00903E19"/>
    <w:rsid w:val="00903E6A"/>
    <w:rsid w:val="00904418"/>
    <w:rsid w:val="0090463A"/>
    <w:rsid w:val="0090500E"/>
    <w:rsid w:val="009055B6"/>
    <w:rsid w:val="009056CA"/>
    <w:rsid w:val="00906010"/>
    <w:rsid w:val="009062E5"/>
    <w:rsid w:val="00906362"/>
    <w:rsid w:val="00906B2E"/>
    <w:rsid w:val="00906CCC"/>
    <w:rsid w:val="0090732A"/>
    <w:rsid w:val="0091039F"/>
    <w:rsid w:val="009105C7"/>
    <w:rsid w:val="0091065D"/>
    <w:rsid w:val="0091113A"/>
    <w:rsid w:val="00911BF9"/>
    <w:rsid w:val="00911C38"/>
    <w:rsid w:val="00911DE6"/>
    <w:rsid w:val="00912214"/>
    <w:rsid w:val="009124A0"/>
    <w:rsid w:val="00912514"/>
    <w:rsid w:val="00912ACA"/>
    <w:rsid w:val="00913285"/>
    <w:rsid w:val="0091339D"/>
    <w:rsid w:val="009133D7"/>
    <w:rsid w:val="0091345B"/>
    <w:rsid w:val="009138A3"/>
    <w:rsid w:val="00914520"/>
    <w:rsid w:val="00914585"/>
    <w:rsid w:val="009149B7"/>
    <w:rsid w:val="00915809"/>
    <w:rsid w:val="009158A4"/>
    <w:rsid w:val="00915C3C"/>
    <w:rsid w:val="00915D4B"/>
    <w:rsid w:val="0091613F"/>
    <w:rsid w:val="009168C7"/>
    <w:rsid w:val="009168E4"/>
    <w:rsid w:val="00916CCE"/>
    <w:rsid w:val="00917119"/>
    <w:rsid w:val="00917C17"/>
    <w:rsid w:val="00917C1B"/>
    <w:rsid w:val="009204C4"/>
    <w:rsid w:val="009204CE"/>
    <w:rsid w:val="0092050C"/>
    <w:rsid w:val="0092087F"/>
    <w:rsid w:val="0092148E"/>
    <w:rsid w:val="00921C42"/>
    <w:rsid w:val="00921D99"/>
    <w:rsid w:val="009220B3"/>
    <w:rsid w:val="009221B4"/>
    <w:rsid w:val="00922515"/>
    <w:rsid w:val="0092271E"/>
    <w:rsid w:val="00922B33"/>
    <w:rsid w:val="00922BF5"/>
    <w:rsid w:val="00922FDB"/>
    <w:rsid w:val="00923E0A"/>
    <w:rsid w:val="00924082"/>
    <w:rsid w:val="00924129"/>
    <w:rsid w:val="00924182"/>
    <w:rsid w:val="00924AEE"/>
    <w:rsid w:val="00925133"/>
    <w:rsid w:val="00925158"/>
    <w:rsid w:val="00925185"/>
    <w:rsid w:val="0092540B"/>
    <w:rsid w:val="00926D09"/>
    <w:rsid w:val="00926EAC"/>
    <w:rsid w:val="00927092"/>
    <w:rsid w:val="0092744F"/>
    <w:rsid w:val="00927ECD"/>
    <w:rsid w:val="00930692"/>
    <w:rsid w:val="009306F0"/>
    <w:rsid w:val="00930771"/>
    <w:rsid w:val="009307A1"/>
    <w:rsid w:val="00930AE8"/>
    <w:rsid w:val="00930CFD"/>
    <w:rsid w:val="00931528"/>
    <w:rsid w:val="00931678"/>
    <w:rsid w:val="0093278B"/>
    <w:rsid w:val="009328E7"/>
    <w:rsid w:val="00932934"/>
    <w:rsid w:val="00932BAA"/>
    <w:rsid w:val="0093302D"/>
    <w:rsid w:val="009334B8"/>
    <w:rsid w:val="00933692"/>
    <w:rsid w:val="0093377E"/>
    <w:rsid w:val="00933847"/>
    <w:rsid w:val="009340F4"/>
    <w:rsid w:val="009349E6"/>
    <w:rsid w:val="00935166"/>
    <w:rsid w:val="0093525D"/>
    <w:rsid w:val="00935352"/>
    <w:rsid w:val="00935861"/>
    <w:rsid w:val="00935CE6"/>
    <w:rsid w:val="00936247"/>
    <w:rsid w:val="0093709B"/>
    <w:rsid w:val="009371FD"/>
    <w:rsid w:val="009375CB"/>
    <w:rsid w:val="009378C0"/>
    <w:rsid w:val="00937A30"/>
    <w:rsid w:val="00940297"/>
    <w:rsid w:val="00940BA5"/>
    <w:rsid w:val="00940BDE"/>
    <w:rsid w:val="009412A1"/>
    <w:rsid w:val="009419EC"/>
    <w:rsid w:val="00942713"/>
    <w:rsid w:val="009456FF"/>
    <w:rsid w:val="00945BAB"/>
    <w:rsid w:val="00945CE1"/>
    <w:rsid w:val="009462F9"/>
    <w:rsid w:val="0094639E"/>
    <w:rsid w:val="00946BD8"/>
    <w:rsid w:val="00946E6B"/>
    <w:rsid w:val="00947326"/>
    <w:rsid w:val="009473F3"/>
    <w:rsid w:val="009506C9"/>
    <w:rsid w:val="00950AF2"/>
    <w:rsid w:val="00950B21"/>
    <w:rsid w:val="00950BBC"/>
    <w:rsid w:val="00950D7A"/>
    <w:rsid w:val="0095132F"/>
    <w:rsid w:val="00951A15"/>
    <w:rsid w:val="00951FB2"/>
    <w:rsid w:val="00952A93"/>
    <w:rsid w:val="0095310E"/>
    <w:rsid w:val="00953FC8"/>
    <w:rsid w:val="009545A2"/>
    <w:rsid w:val="009549F6"/>
    <w:rsid w:val="0095528F"/>
    <w:rsid w:val="0095555F"/>
    <w:rsid w:val="00955779"/>
    <w:rsid w:val="00955E0D"/>
    <w:rsid w:val="00956959"/>
    <w:rsid w:val="00956B2F"/>
    <w:rsid w:val="00956DB9"/>
    <w:rsid w:val="00956EA5"/>
    <w:rsid w:val="00956F8E"/>
    <w:rsid w:val="009572DE"/>
    <w:rsid w:val="00957498"/>
    <w:rsid w:val="009578FB"/>
    <w:rsid w:val="0095794D"/>
    <w:rsid w:val="00957C81"/>
    <w:rsid w:val="00957FC8"/>
    <w:rsid w:val="009600EC"/>
    <w:rsid w:val="009606D5"/>
    <w:rsid w:val="00960902"/>
    <w:rsid w:val="00960EFB"/>
    <w:rsid w:val="00960FBF"/>
    <w:rsid w:val="0096114C"/>
    <w:rsid w:val="00961360"/>
    <w:rsid w:val="00961448"/>
    <w:rsid w:val="0096186F"/>
    <w:rsid w:val="009619BD"/>
    <w:rsid w:val="00961AFC"/>
    <w:rsid w:val="00961C26"/>
    <w:rsid w:val="00961F4F"/>
    <w:rsid w:val="009629DC"/>
    <w:rsid w:val="00962B35"/>
    <w:rsid w:val="00963379"/>
    <w:rsid w:val="00963CBC"/>
    <w:rsid w:val="00963DE6"/>
    <w:rsid w:val="0096435E"/>
    <w:rsid w:val="0096437E"/>
    <w:rsid w:val="00965095"/>
    <w:rsid w:val="009657D2"/>
    <w:rsid w:val="009659D2"/>
    <w:rsid w:val="00966053"/>
    <w:rsid w:val="00966A5A"/>
    <w:rsid w:val="00966E8B"/>
    <w:rsid w:val="009671F9"/>
    <w:rsid w:val="00967A7F"/>
    <w:rsid w:val="00967B15"/>
    <w:rsid w:val="00967DDF"/>
    <w:rsid w:val="00970006"/>
    <w:rsid w:val="00970A5E"/>
    <w:rsid w:val="00970F64"/>
    <w:rsid w:val="00971586"/>
    <w:rsid w:val="00971886"/>
    <w:rsid w:val="00971ED2"/>
    <w:rsid w:val="00972659"/>
    <w:rsid w:val="00972EE4"/>
    <w:rsid w:val="00973AF7"/>
    <w:rsid w:val="00973DAD"/>
    <w:rsid w:val="00973E13"/>
    <w:rsid w:val="00974809"/>
    <w:rsid w:val="00974A0C"/>
    <w:rsid w:val="00975014"/>
    <w:rsid w:val="009757E7"/>
    <w:rsid w:val="00975BC1"/>
    <w:rsid w:val="009761A8"/>
    <w:rsid w:val="00976DEA"/>
    <w:rsid w:val="00976FE9"/>
    <w:rsid w:val="009770B9"/>
    <w:rsid w:val="0097718C"/>
    <w:rsid w:val="0097748D"/>
    <w:rsid w:val="009774B3"/>
    <w:rsid w:val="00977836"/>
    <w:rsid w:val="00977AD0"/>
    <w:rsid w:val="009800F4"/>
    <w:rsid w:val="00980364"/>
    <w:rsid w:val="00980CC2"/>
    <w:rsid w:val="00980E4F"/>
    <w:rsid w:val="009812DE"/>
    <w:rsid w:val="009816DC"/>
    <w:rsid w:val="00981D99"/>
    <w:rsid w:val="00981F2A"/>
    <w:rsid w:val="00982276"/>
    <w:rsid w:val="00982468"/>
    <w:rsid w:val="009826A3"/>
    <w:rsid w:val="00982822"/>
    <w:rsid w:val="009829DE"/>
    <w:rsid w:val="00982D87"/>
    <w:rsid w:val="009832F0"/>
    <w:rsid w:val="009834B3"/>
    <w:rsid w:val="0098350F"/>
    <w:rsid w:val="0098396A"/>
    <w:rsid w:val="009842C4"/>
    <w:rsid w:val="00984C5F"/>
    <w:rsid w:val="00984ED6"/>
    <w:rsid w:val="00984FD9"/>
    <w:rsid w:val="00984FDE"/>
    <w:rsid w:val="00985351"/>
    <w:rsid w:val="00985662"/>
    <w:rsid w:val="0098566A"/>
    <w:rsid w:val="0098601B"/>
    <w:rsid w:val="00986260"/>
    <w:rsid w:val="009862EE"/>
    <w:rsid w:val="00986DF8"/>
    <w:rsid w:val="00987496"/>
    <w:rsid w:val="00987824"/>
    <w:rsid w:val="00987A15"/>
    <w:rsid w:val="00987B01"/>
    <w:rsid w:val="00987DE3"/>
    <w:rsid w:val="009902B8"/>
    <w:rsid w:val="00990519"/>
    <w:rsid w:val="00990D95"/>
    <w:rsid w:val="00991768"/>
    <w:rsid w:val="00991CCE"/>
    <w:rsid w:val="00991CF6"/>
    <w:rsid w:val="00992070"/>
    <w:rsid w:val="0099208C"/>
    <w:rsid w:val="009925C5"/>
    <w:rsid w:val="009927F3"/>
    <w:rsid w:val="00992C8B"/>
    <w:rsid w:val="00993746"/>
    <w:rsid w:val="009940F9"/>
    <w:rsid w:val="00994124"/>
    <w:rsid w:val="00994565"/>
    <w:rsid w:val="00994580"/>
    <w:rsid w:val="0099461F"/>
    <w:rsid w:val="0099518B"/>
    <w:rsid w:val="00995971"/>
    <w:rsid w:val="00995DB4"/>
    <w:rsid w:val="0099609A"/>
    <w:rsid w:val="0099622E"/>
    <w:rsid w:val="0099696A"/>
    <w:rsid w:val="00996BEC"/>
    <w:rsid w:val="00996D7E"/>
    <w:rsid w:val="009970B7"/>
    <w:rsid w:val="00997317"/>
    <w:rsid w:val="009974CC"/>
    <w:rsid w:val="009975BD"/>
    <w:rsid w:val="009977CC"/>
    <w:rsid w:val="009977F4"/>
    <w:rsid w:val="00997BD6"/>
    <w:rsid w:val="00997F47"/>
    <w:rsid w:val="009A0570"/>
    <w:rsid w:val="009A0B7A"/>
    <w:rsid w:val="009A0BBE"/>
    <w:rsid w:val="009A0EA0"/>
    <w:rsid w:val="009A109E"/>
    <w:rsid w:val="009A1794"/>
    <w:rsid w:val="009A17E7"/>
    <w:rsid w:val="009A1AD6"/>
    <w:rsid w:val="009A1F3F"/>
    <w:rsid w:val="009A2545"/>
    <w:rsid w:val="009A31AF"/>
    <w:rsid w:val="009A354E"/>
    <w:rsid w:val="009A36AE"/>
    <w:rsid w:val="009A3841"/>
    <w:rsid w:val="009A49D4"/>
    <w:rsid w:val="009A4B98"/>
    <w:rsid w:val="009A4B9D"/>
    <w:rsid w:val="009A5604"/>
    <w:rsid w:val="009A593E"/>
    <w:rsid w:val="009A5BE7"/>
    <w:rsid w:val="009A5E19"/>
    <w:rsid w:val="009A5E90"/>
    <w:rsid w:val="009A653B"/>
    <w:rsid w:val="009A7200"/>
    <w:rsid w:val="009A722E"/>
    <w:rsid w:val="009A792E"/>
    <w:rsid w:val="009B0584"/>
    <w:rsid w:val="009B0858"/>
    <w:rsid w:val="009B0B22"/>
    <w:rsid w:val="009B0D18"/>
    <w:rsid w:val="009B0D6C"/>
    <w:rsid w:val="009B119D"/>
    <w:rsid w:val="009B177C"/>
    <w:rsid w:val="009B192E"/>
    <w:rsid w:val="009B1A70"/>
    <w:rsid w:val="009B1B26"/>
    <w:rsid w:val="009B21B4"/>
    <w:rsid w:val="009B25FD"/>
    <w:rsid w:val="009B2622"/>
    <w:rsid w:val="009B3541"/>
    <w:rsid w:val="009B4773"/>
    <w:rsid w:val="009B4BD2"/>
    <w:rsid w:val="009B4E31"/>
    <w:rsid w:val="009B58AF"/>
    <w:rsid w:val="009B58E0"/>
    <w:rsid w:val="009B5AE6"/>
    <w:rsid w:val="009B5D5A"/>
    <w:rsid w:val="009B5DA4"/>
    <w:rsid w:val="009B62FC"/>
    <w:rsid w:val="009B69BF"/>
    <w:rsid w:val="009B6C77"/>
    <w:rsid w:val="009B75B8"/>
    <w:rsid w:val="009B78C1"/>
    <w:rsid w:val="009B792A"/>
    <w:rsid w:val="009C03CF"/>
    <w:rsid w:val="009C070D"/>
    <w:rsid w:val="009C088E"/>
    <w:rsid w:val="009C0AC4"/>
    <w:rsid w:val="009C167E"/>
    <w:rsid w:val="009C168C"/>
    <w:rsid w:val="009C1698"/>
    <w:rsid w:val="009C1BF3"/>
    <w:rsid w:val="009C21E5"/>
    <w:rsid w:val="009C2357"/>
    <w:rsid w:val="009C261D"/>
    <w:rsid w:val="009C29BB"/>
    <w:rsid w:val="009C2F2F"/>
    <w:rsid w:val="009C307C"/>
    <w:rsid w:val="009C3248"/>
    <w:rsid w:val="009C3305"/>
    <w:rsid w:val="009C35AF"/>
    <w:rsid w:val="009C386D"/>
    <w:rsid w:val="009C3993"/>
    <w:rsid w:val="009C4129"/>
    <w:rsid w:val="009C473E"/>
    <w:rsid w:val="009C491B"/>
    <w:rsid w:val="009C4B9B"/>
    <w:rsid w:val="009C5A74"/>
    <w:rsid w:val="009C5C7B"/>
    <w:rsid w:val="009C5CC0"/>
    <w:rsid w:val="009C6112"/>
    <w:rsid w:val="009C6AA0"/>
    <w:rsid w:val="009C6BDD"/>
    <w:rsid w:val="009C7082"/>
    <w:rsid w:val="009C725F"/>
    <w:rsid w:val="009C7FAB"/>
    <w:rsid w:val="009C7FBF"/>
    <w:rsid w:val="009D0B5C"/>
    <w:rsid w:val="009D0C86"/>
    <w:rsid w:val="009D0CAF"/>
    <w:rsid w:val="009D10F6"/>
    <w:rsid w:val="009D17D0"/>
    <w:rsid w:val="009D17F6"/>
    <w:rsid w:val="009D193D"/>
    <w:rsid w:val="009D1CF0"/>
    <w:rsid w:val="009D1F2A"/>
    <w:rsid w:val="009D226B"/>
    <w:rsid w:val="009D24EB"/>
    <w:rsid w:val="009D36A4"/>
    <w:rsid w:val="009D41A6"/>
    <w:rsid w:val="009D4ABD"/>
    <w:rsid w:val="009D4F61"/>
    <w:rsid w:val="009D4F83"/>
    <w:rsid w:val="009D565E"/>
    <w:rsid w:val="009D575E"/>
    <w:rsid w:val="009D6178"/>
    <w:rsid w:val="009D62A8"/>
    <w:rsid w:val="009D7297"/>
    <w:rsid w:val="009D7746"/>
    <w:rsid w:val="009D7E25"/>
    <w:rsid w:val="009E00AA"/>
    <w:rsid w:val="009E04BF"/>
    <w:rsid w:val="009E0554"/>
    <w:rsid w:val="009E05DD"/>
    <w:rsid w:val="009E09CB"/>
    <w:rsid w:val="009E223F"/>
    <w:rsid w:val="009E272D"/>
    <w:rsid w:val="009E3213"/>
    <w:rsid w:val="009E3310"/>
    <w:rsid w:val="009E364A"/>
    <w:rsid w:val="009E3D8C"/>
    <w:rsid w:val="009E48F7"/>
    <w:rsid w:val="009E496C"/>
    <w:rsid w:val="009E4ADE"/>
    <w:rsid w:val="009E4B10"/>
    <w:rsid w:val="009E4DB9"/>
    <w:rsid w:val="009E513B"/>
    <w:rsid w:val="009E5821"/>
    <w:rsid w:val="009E5ABD"/>
    <w:rsid w:val="009E5BE5"/>
    <w:rsid w:val="009E5DD5"/>
    <w:rsid w:val="009E5E53"/>
    <w:rsid w:val="009E64C9"/>
    <w:rsid w:val="009E6AE2"/>
    <w:rsid w:val="009E6BA6"/>
    <w:rsid w:val="009E6FFB"/>
    <w:rsid w:val="009E70E9"/>
    <w:rsid w:val="009E7436"/>
    <w:rsid w:val="009E7598"/>
    <w:rsid w:val="009E75A7"/>
    <w:rsid w:val="009F018A"/>
    <w:rsid w:val="009F0FCB"/>
    <w:rsid w:val="009F1274"/>
    <w:rsid w:val="009F236E"/>
    <w:rsid w:val="009F27A3"/>
    <w:rsid w:val="009F2F93"/>
    <w:rsid w:val="009F3046"/>
    <w:rsid w:val="009F37C2"/>
    <w:rsid w:val="009F392F"/>
    <w:rsid w:val="009F4672"/>
    <w:rsid w:val="009F47E7"/>
    <w:rsid w:val="009F4A4D"/>
    <w:rsid w:val="009F4BA6"/>
    <w:rsid w:val="009F575E"/>
    <w:rsid w:val="009F5A90"/>
    <w:rsid w:val="009F5B2A"/>
    <w:rsid w:val="009F6478"/>
    <w:rsid w:val="009F6507"/>
    <w:rsid w:val="009F6EEF"/>
    <w:rsid w:val="009F750A"/>
    <w:rsid w:val="009F787F"/>
    <w:rsid w:val="009F7D53"/>
    <w:rsid w:val="00A00025"/>
    <w:rsid w:val="00A00937"/>
    <w:rsid w:val="00A0130D"/>
    <w:rsid w:val="00A01313"/>
    <w:rsid w:val="00A01751"/>
    <w:rsid w:val="00A01904"/>
    <w:rsid w:val="00A01D7E"/>
    <w:rsid w:val="00A01DD7"/>
    <w:rsid w:val="00A020D2"/>
    <w:rsid w:val="00A0272D"/>
    <w:rsid w:val="00A02BB4"/>
    <w:rsid w:val="00A02E39"/>
    <w:rsid w:val="00A02ECE"/>
    <w:rsid w:val="00A03218"/>
    <w:rsid w:val="00A03C24"/>
    <w:rsid w:val="00A03C76"/>
    <w:rsid w:val="00A04238"/>
    <w:rsid w:val="00A0490C"/>
    <w:rsid w:val="00A04F6B"/>
    <w:rsid w:val="00A05337"/>
    <w:rsid w:val="00A05578"/>
    <w:rsid w:val="00A058C5"/>
    <w:rsid w:val="00A05BFF"/>
    <w:rsid w:val="00A05EB1"/>
    <w:rsid w:val="00A05F70"/>
    <w:rsid w:val="00A05F82"/>
    <w:rsid w:val="00A06A45"/>
    <w:rsid w:val="00A06B7B"/>
    <w:rsid w:val="00A06CEB"/>
    <w:rsid w:val="00A075C7"/>
    <w:rsid w:val="00A07C0D"/>
    <w:rsid w:val="00A1038D"/>
    <w:rsid w:val="00A10435"/>
    <w:rsid w:val="00A104A5"/>
    <w:rsid w:val="00A10755"/>
    <w:rsid w:val="00A111AC"/>
    <w:rsid w:val="00A11729"/>
    <w:rsid w:val="00A11B20"/>
    <w:rsid w:val="00A11B8F"/>
    <w:rsid w:val="00A11D8E"/>
    <w:rsid w:val="00A11F11"/>
    <w:rsid w:val="00A12685"/>
    <w:rsid w:val="00A12A08"/>
    <w:rsid w:val="00A12DBE"/>
    <w:rsid w:val="00A13391"/>
    <w:rsid w:val="00A1359F"/>
    <w:rsid w:val="00A137FF"/>
    <w:rsid w:val="00A13DEB"/>
    <w:rsid w:val="00A143A0"/>
    <w:rsid w:val="00A14539"/>
    <w:rsid w:val="00A1464E"/>
    <w:rsid w:val="00A14CD2"/>
    <w:rsid w:val="00A15323"/>
    <w:rsid w:val="00A15563"/>
    <w:rsid w:val="00A1596F"/>
    <w:rsid w:val="00A160A6"/>
    <w:rsid w:val="00A16269"/>
    <w:rsid w:val="00A162A6"/>
    <w:rsid w:val="00A16686"/>
    <w:rsid w:val="00A16798"/>
    <w:rsid w:val="00A167DC"/>
    <w:rsid w:val="00A16835"/>
    <w:rsid w:val="00A16A3A"/>
    <w:rsid w:val="00A16A66"/>
    <w:rsid w:val="00A16B45"/>
    <w:rsid w:val="00A17302"/>
    <w:rsid w:val="00A175B4"/>
    <w:rsid w:val="00A1761E"/>
    <w:rsid w:val="00A1798F"/>
    <w:rsid w:val="00A179E7"/>
    <w:rsid w:val="00A20018"/>
    <w:rsid w:val="00A2003B"/>
    <w:rsid w:val="00A2015E"/>
    <w:rsid w:val="00A207A7"/>
    <w:rsid w:val="00A209EF"/>
    <w:rsid w:val="00A20B76"/>
    <w:rsid w:val="00A20D4F"/>
    <w:rsid w:val="00A20D83"/>
    <w:rsid w:val="00A21289"/>
    <w:rsid w:val="00A2196F"/>
    <w:rsid w:val="00A21BA1"/>
    <w:rsid w:val="00A21D7E"/>
    <w:rsid w:val="00A22102"/>
    <w:rsid w:val="00A2218A"/>
    <w:rsid w:val="00A22AFD"/>
    <w:rsid w:val="00A22B2E"/>
    <w:rsid w:val="00A22D9F"/>
    <w:rsid w:val="00A22F5B"/>
    <w:rsid w:val="00A23170"/>
    <w:rsid w:val="00A233AA"/>
    <w:rsid w:val="00A23436"/>
    <w:rsid w:val="00A235F2"/>
    <w:rsid w:val="00A23EA5"/>
    <w:rsid w:val="00A244C6"/>
    <w:rsid w:val="00A24D38"/>
    <w:rsid w:val="00A24F86"/>
    <w:rsid w:val="00A26107"/>
    <w:rsid w:val="00A26A40"/>
    <w:rsid w:val="00A26B4D"/>
    <w:rsid w:val="00A279C5"/>
    <w:rsid w:val="00A30148"/>
    <w:rsid w:val="00A30F4F"/>
    <w:rsid w:val="00A31373"/>
    <w:rsid w:val="00A316A0"/>
    <w:rsid w:val="00A31C2F"/>
    <w:rsid w:val="00A32077"/>
    <w:rsid w:val="00A327C4"/>
    <w:rsid w:val="00A3330A"/>
    <w:rsid w:val="00A33D3B"/>
    <w:rsid w:val="00A3536B"/>
    <w:rsid w:val="00A356C7"/>
    <w:rsid w:val="00A35A43"/>
    <w:rsid w:val="00A35E3C"/>
    <w:rsid w:val="00A365C9"/>
    <w:rsid w:val="00A36891"/>
    <w:rsid w:val="00A36C02"/>
    <w:rsid w:val="00A36DC8"/>
    <w:rsid w:val="00A36ED9"/>
    <w:rsid w:val="00A36FE2"/>
    <w:rsid w:val="00A37013"/>
    <w:rsid w:val="00A3718A"/>
    <w:rsid w:val="00A3799A"/>
    <w:rsid w:val="00A37B47"/>
    <w:rsid w:val="00A404E4"/>
    <w:rsid w:val="00A41ACF"/>
    <w:rsid w:val="00A41F37"/>
    <w:rsid w:val="00A4259F"/>
    <w:rsid w:val="00A42838"/>
    <w:rsid w:val="00A42982"/>
    <w:rsid w:val="00A431B4"/>
    <w:rsid w:val="00A43DCE"/>
    <w:rsid w:val="00A4406B"/>
    <w:rsid w:val="00A44778"/>
    <w:rsid w:val="00A44978"/>
    <w:rsid w:val="00A45127"/>
    <w:rsid w:val="00A451DF"/>
    <w:rsid w:val="00A456D3"/>
    <w:rsid w:val="00A458C5"/>
    <w:rsid w:val="00A45D55"/>
    <w:rsid w:val="00A45D5B"/>
    <w:rsid w:val="00A45E46"/>
    <w:rsid w:val="00A465F4"/>
    <w:rsid w:val="00A474D2"/>
    <w:rsid w:val="00A4753F"/>
    <w:rsid w:val="00A4791C"/>
    <w:rsid w:val="00A47970"/>
    <w:rsid w:val="00A47CE9"/>
    <w:rsid w:val="00A47DFE"/>
    <w:rsid w:val="00A512F0"/>
    <w:rsid w:val="00A516BE"/>
    <w:rsid w:val="00A527DC"/>
    <w:rsid w:val="00A528E3"/>
    <w:rsid w:val="00A52BD9"/>
    <w:rsid w:val="00A5303F"/>
    <w:rsid w:val="00A53781"/>
    <w:rsid w:val="00A5383C"/>
    <w:rsid w:val="00A543D5"/>
    <w:rsid w:val="00A547F1"/>
    <w:rsid w:val="00A5529A"/>
    <w:rsid w:val="00A55837"/>
    <w:rsid w:val="00A559AE"/>
    <w:rsid w:val="00A56A91"/>
    <w:rsid w:val="00A56E21"/>
    <w:rsid w:val="00A57715"/>
    <w:rsid w:val="00A57B14"/>
    <w:rsid w:val="00A6015D"/>
    <w:rsid w:val="00A60997"/>
    <w:rsid w:val="00A609C2"/>
    <w:rsid w:val="00A60AE9"/>
    <w:rsid w:val="00A60DCF"/>
    <w:rsid w:val="00A60FAC"/>
    <w:rsid w:val="00A61980"/>
    <w:rsid w:val="00A61EC1"/>
    <w:rsid w:val="00A62201"/>
    <w:rsid w:val="00A625F9"/>
    <w:rsid w:val="00A63599"/>
    <w:rsid w:val="00A63BDE"/>
    <w:rsid w:val="00A63D32"/>
    <w:rsid w:val="00A64466"/>
    <w:rsid w:val="00A646A1"/>
    <w:rsid w:val="00A64B32"/>
    <w:rsid w:val="00A64F05"/>
    <w:rsid w:val="00A65437"/>
    <w:rsid w:val="00A65868"/>
    <w:rsid w:val="00A65940"/>
    <w:rsid w:val="00A65B40"/>
    <w:rsid w:val="00A65D7F"/>
    <w:rsid w:val="00A65E2D"/>
    <w:rsid w:val="00A660D6"/>
    <w:rsid w:val="00A666B9"/>
    <w:rsid w:val="00A66E20"/>
    <w:rsid w:val="00A670F2"/>
    <w:rsid w:val="00A6770B"/>
    <w:rsid w:val="00A67CC2"/>
    <w:rsid w:val="00A7111A"/>
    <w:rsid w:val="00A71F3A"/>
    <w:rsid w:val="00A7210D"/>
    <w:rsid w:val="00A721E0"/>
    <w:rsid w:val="00A72568"/>
    <w:rsid w:val="00A7263C"/>
    <w:rsid w:val="00A72A13"/>
    <w:rsid w:val="00A72EE3"/>
    <w:rsid w:val="00A730A2"/>
    <w:rsid w:val="00A734A8"/>
    <w:rsid w:val="00A73500"/>
    <w:rsid w:val="00A73D80"/>
    <w:rsid w:val="00A73F32"/>
    <w:rsid w:val="00A73FB1"/>
    <w:rsid w:val="00A7400B"/>
    <w:rsid w:val="00A7415B"/>
    <w:rsid w:val="00A74413"/>
    <w:rsid w:val="00A74E48"/>
    <w:rsid w:val="00A74F9D"/>
    <w:rsid w:val="00A75064"/>
    <w:rsid w:val="00A75337"/>
    <w:rsid w:val="00A754D0"/>
    <w:rsid w:val="00A7583E"/>
    <w:rsid w:val="00A75A4F"/>
    <w:rsid w:val="00A75BBA"/>
    <w:rsid w:val="00A75F0D"/>
    <w:rsid w:val="00A76B27"/>
    <w:rsid w:val="00A76B6A"/>
    <w:rsid w:val="00A76DC0"/>
    <w:rsid w:val="00A77B9A"/>
    <w:rsid w:val="00A80EDE"/>
    <w:rsid w:val="00A81B09"/>
    <w:rsid w:val="00A81C58"/>
    <w:rsid w:val="00A81D72"/>
    <w:rsid w:val="00A81E84"/>
    <w:rsid w:val="00A82BCD"/>
    <w:rsid w:val="00A82F30"/>
    <w:rsid w:val="00A83316"/>
    <w:rsid w:val="00A83652"/>
    <w:rsid w:val="00A841B3"/>
    <w:rsid w:val="00A841DF"/>
    <w:rsid w:val="00A84DAE"/>
    <w:rsid w:val="00A85183"/>
    <w:rsid w:val="00A8589A"/>
    <w:rsid w:val="00A85A06"/>
    <w:rsid w:val="00A86620"/>
    <w:rsid w:val="00A86970"/>
    <w:rsid w:val="00A86C27"/>
    <w:rsid w:val="00A874C6"/>
    <w:rsid w:val="00A87DBF"/>
    <w:rsid w:val="00A901C3"/>
    <w:rsid w:val="00A90AF1"/>
    <w:rsid w:val="00A9217A"/>
    <w:rsid w:val="00A92CBE"/>
    <w:rsid w:val="00A92E03"/>
    <w:rsid w:val="00A92E07"/>
    <w:rsid w:val="00A92E31"/>
    <w:rsid w:val="00A93564"/>
    <w:rsid w:val="00A93F2F"/>
    <w:rsid w:val="00A93F5B"/>
    <w:rsid w:val="00A941E8"/>
    <w:rsid w:val="00A9433E"/>
    <w:rsid w:val="00A947C7"/>
    <w:rsid w:val="00A94E3A"/>
    <w:rsid w:val="00A96630"/>
    <w:rsid w:val="00A96B54"/>
    <w:rsid w:val="00A96E04"/>
    <w:rsid w:val="00A974C2"/>
    <w:rsid w:val="00A97AE2"/>
    <w:rsid w:val="00A97F8E"/>
    <w:rsid w:val="00AA00D6"/>
    <w:rsid w:val="00AA013F"/>
    <w:rsid w:val="00AA08AF"/>
    <w:rsid w:val="00AA120B"/>
    <w:rsid w:val="00AA1631"/>
    <w:rsid w:val="00AA1A8B"/>
    <w:rsid w:val="00AA1D91"/>
    <w:rsid w:val="00AA2777"/>
    <w:rsid w:val="00AA3302"/>
    <w:rsid w:val="00AA3381"/>
    <w:rsid w:val="00AA3DF5"/>
    <w:rsid w:val="00AA44E5"/>
    <w:rsid w:val="00AA53F1"/>
    <w:rsid w:val="00AA5DE8"/>
    <w:rsid w:val="00AA6141"/>
    <w:rsid w:val="00AA66A1"/>
    <w:rsid w:val="00AA66E7"/>
    <w:rsid w:val="00AA6823"/>
    <w:rsid w:val="00AA68C2"/>
    <w:rsid w:val="00AA699D"/>
    <w:rsid w:val="00AA6DDE"/>
    <w:rsid w:val="00AA6E25"/>
    <w:rsid w:val="00AA6EA3"/>
    <w:rsid w:val="00AA70D0"/>
    <w:rsid w:val="00AA71B2"/>
    <w:rsid w:val="00AA779A"/>
    <w:rsid w:val="00AA7B0F"/>
    <w:rsid w:val="00AA7D46"/>
    <w:rsid w:val="00AB15F9"/>
    <w:rsid w:val="00AB17E0"/>
    <w:rsid w:val="00AB198D"/>
    <w:rsid w:val="00AB2A76"/>
    <w:rsid w:val="00AB2F74"/>
    <w:rsid w:val="00AB309E"/>
    <w:rsid w:val="00AB3256"/>
    <w:rsid w:val="00AB3886"/>
    <w:rsid w:val="00AB38AE"/>
    <w:rsid w:val="00AB3AD8"/>
    <w:rsid w:val="00AB3F07"/>
    <w:rsid w:val="00AB3FAC"/>
    <w:rsid w:val="00AB4044"/>
    <w:rsid w:val="00AB4190"/>
    <w:rsid w:val="00AB41E1"/>
    <w:rsid w:val="00AB49A8"/>
    <w:rsid w:val="00AB5349"/>
    <w:rsid w:val="00AB55EA"/>
    <w:rsid w:val="00AB5D14"/>
    <w:rsid w:val="00AB5D21"/>
    <w:rsid w:val="00AB5FEC"/>
    <w:rsid w:val="00AB64A2"/>
    <w:rsid w:val="00AB66A4"/>
    <w:rsid w:val="00AB6C94"/>
    <w:rsid w:val="00AB7ACE"/>
    <w:rsid w:val="00AB7E18"/>
    <w:rsid w:val="00AC05D6"/>
    <w:rsid w:val="00AC1050"/>
    <w:rsid w:val="00AC296F"/>
    <w:rsid w:val="00AC2E3C"/>
    <w:rsid w:val="00AC3018"/>
    <w:rsid w:val="00AC3990"/>
    <w:rsid w:val="00AC3A89"/>
    <w:rsid w:val="00AC3BB6"/>
    <w:rsid w:val="00AC3E4F"/>
    <w:rsid w:val="00AC40F3"/>
    <w:rsid w:val="00AC4879"/>
    <w:rsid w:val="00AC4CA1"/>
    <w:rsid w:val="00AC4F07"/>
    <w:rsid w:val="00AC5504"/>
    <w:rsid w:val="00AC55B4"/>
    <w:rsid w:val="00AC5815"/>
    <w:rsid w:val="00AC6CAF"/>
    <w:rsid w:val="00AC73C9"/>
    <w:rsid w:val="00AC74C3"/>
    <w:rsid w:val="00AC772B"/>
    <w:rsid w:val="00AD064F"/>
    <w:rsid w:val="00AD0A92"/>
    <w:rsid w:val="00AD0CCF"/>
    <w:rsid w:val="00AD0F60"/>
    <w:rsid w:val="00AD1851"/>
    <w:rsid w:val="00AD1ADE"/>
    <w:rsid w:val="00AD1E26"/>
    <w:rsid w:val="00AD254E"/>
    <w:rsid w:val="00AD258D"/>
    <w:rsid w:val="00AD2D30"/>
    <w:rsid w:val="00AD3091"/>
    <w:rsid w:val="00AD35A5"/>
    <w:rsid w:val="00AD4E34"/>
    <w:rsid w:val="00AD4EA7"/>
    <w:rsid w:val="00AD551E"/>
    <w:rsid w:val="00AD559A"/>
    <w:rsid w:val="00AD5D7C"/>
    <w:rsid w:val="00AD623F"/>
    <w:rsid w:val="00AD628E"/>
    <w:rsid w:val="00AD6ABD"/>
    <w:rsid w:val="00AD7662"/>
    <w:rsid w:val="00AD7F7B"/>
    <w:rsid w:val="00AE0213"/>
    <w:rsid w:val="00AE03E5"/>
    <w:rsid w:val="00AE05B3"/>
    <w:rsid w:val="00AE0735"/>
    <w:rsid w:val="00AE0BB5"/>
    <w:rsid w:val="00AE0D84"/>
    <w:rsid w:val="00AE0E5B"/>
    <w:rsid w:val="00AE17F2"/>
    <w:rsid w:val="00AE1896"/>
    <w:rsid w:val="00AE19E6"/>
    <w:rsid w:val="00AE1C5B"/>
    <w:rsid w:val="00AE2B05"/>
    <w:rsid w:val="00AE31E0"/>
    <w:rsid w:val="00AE3A5D"/>
    <w:rsid w:val="00AE3ABF"/>
    <w:rsid w:val="00AE3F8A"/>
    <w:rsid w:val="00AE42CC"/>
    <w:rsid w:val="00AE4720"/>
    <w:rsid w:val="00AE4E0F"/>
    <w:rsid w:val="00AE5BF1"/>
    <w:rsid w:val="00AE6443"/>
    <w:rsid w:val="00AE67AD"/>
    <w:rsid w:val="00AE6C1C"/>
    <w:rsid w:val="00AE700D"/>
    <w:rsid w:val="00AE70CE"/>
    <w:rsid w:val="00AE70D5"/>
    <w:rsid w:val="00AE7397"/>
    <w:rsid w:val="00AE74D3"/>
    <w:rsid w:val="00AE76F9"/>
    <w:rsid w:val="00AF0311"/>
    <w:rsid w:val="00AF06FC"/>
    <w:rsid w:val="00AF08C5"/>
    <w:rsid w:val="00AF0D30"/>
    <w:rsid w:val="00AF1835"/>
    <w:rsid w:val="00AF1FB5"/>
    <w:rsid w:val="00AF2495"/>
    <w:rsid w:val="00AF2CF7"/>
    <w:rsid w:val="00AF3187"/>
    <w:rsid w:val="00AF3221"/>
    <w:rsid w:val="00AF32E8"/>
    <w:rsid w:val="00AF39C0"/>
    <w:rsid w:val="00AF3CC2"/>
    <w:rsid w:val="00AF43CF"/>
    <w:rsid w:val="00AF4509"/>
    <w:rsid w:val="00AF4E86"/>
    <w:rsid w:val="00AF557B"/>
    <w:rsid w:val="00AF55D3"/>
    <w:rsid w:val="00AF6C57"/>
    <w:rsid w:val="00AF6CA0"/>
    <w:rsid w:val="00AF6F11"/>
    <w:rsid w:val="00AF78C8"/>
    <w:rsid w:val="00AF7913"/>
    <w:rsid w:val="00AF7E76"/>
    <w:rsid w:val="00B00515"/>
    <w:rsid w:val="00B00901"/>
    <w:rsid w:val="00B00AFA"/>
    <w:rsid w:val="00B00C60"/>
    <w:rsid w:val="00B00C75"/>
    <w:rsid w:val="00B00D1A"/>
    <w:rsid w:val="00B00D5B"/>
    <w:rsid w:val="00B01078"/>
    <w:rsid w:val="00B01EC4"/>
    <w:rsid w:val="00B0209F"/>
    <w:rsid w:val="00B02636"/>
    <w:rsid w:val="00B02C6E"/>
    <w:rsid w:val="00B02E10"/>
    <w:rsid w:val="00B03435"/>
    <w:rsid w:val="00B038FF"/>
    <w:rsid w:val="00B03960"/>
    <w:rsid w:val="00B03C4F"/>
    <w:rsid w:val="00B03CCC"/>
    <w:rsid w:val="00B03D44"/>
    <w:rsid w:val="00B03F51"/>
    <w:rsid w:val="00B0448B"/>
    <w:rsid w:val="00B04CCD"/>
    <w:rsid w:val="00B05057"/>
    <w:rsid w:val="00B05215"/>
    <w:rsid w:val="00B05B64"/>
    <w:rsid w:val="00B05E75"/>
    <w:rsid w:val="00B0666C"/>
    <w:rsid w:val="00B067F6"/>
    <w:rsid w:val="00B06C83"/>
    <w:rsid w:val="00B07399"/>
    <w:rsid w:val="00B07D0B"/>
    <w:rsid w:val="00B102F4"/>
    <w:rsid w:val="00B10498"/>
    <w:rsid w:val="00B1098E"/>
    <w:rsid w:val="00B10B92"/>
    <w:rsid w:val="00B10E03"/>
    <w:rsid w:val="00B115B8"/>
    <w:rsid w:val="00B11606"/>
    <w:rsid w:val="00B11633"/>
    <w:rsid w:val="00B116C7"/>
    <w:rsid w:val="00B1191B"/>
    <w:rsid w:val="00B11ACF"/>
    <w:rsid w:val="00B1274B"/>
    <w:rsid w:val="00B12C73"/>
    <w:rsid w:val="00B1377C"/>
    <w:rsid w:val="00B139FB"/>
    <w:rsid w:val="00B14171"/>
    <w:rsid w:val="00B14963"/>
    <w:rsid w:val="00B14AE5"/>
    <w:rsid w:val="00B150F6"/>
    <w:rsid w:val="00B1566F"/>
    <w:rsid w:val="00B166B7"/>
    <w:rsid w:val="00B16EF3"/>
    <w:rsid w:val="00B17230"/>
    <w:rsid w:val="00B172C1"/>
    <w:rsid w:val="00B17BA1"/>
    <w:rsid w:val="00B17C89"/>
    <w:rsid w:val="00B17D7E"/>
    <w:rsid w:val="00B20A73"/>
    <w:rsid w:val="00B20CF5"/>
    <w:rsid w:val="00B21199"/>
    <w:rsid w:val="00B21F08"/>
    <w:rsid w:val="00B22223"/>
    <w:rsid w:val="00B232D9"/>
    <w:rsid w:val="00B237C5"/>
    <w:rsid w:val="00B23A1C"/>
    <w:rsid w:val="00B2425C"/>
    <w:rsid w:val="00B24425"/>
    <w:rsid w:val="00B24AA7"/>
    <w:rsid w:val="00B252B3"/>
    <w:rsid w:val="00B25403"/>
    <w:rsid w:val="00B2558B"/>
    <w:rsid w:val="00B2562F"/>
    <w:rsid w:val="00B2586E"/>
    <w:rsid w:val="00B258A9"/>
    <w:rsid w:val="00B2618E"/>
    <w:rsid w:val="00B26249"/>
    <w:rsid w:val="00B2689F"/>
    <w:rsid w:val="00B26905"/>
    <w:rsid w:val="00B27076"/>
    <w:rsid w:val="00B2717D"/>
    <w:rsid w:val="00B27640"/>
    <w:rsid w:val="00B27C9B"/>
    <w:rsid w:val="00B3055A"/>
    <w:rsid w:val="00B30640"/>
    <w:rsid w:val="00B31199"/>
    <w:rsid w:val="00B31754"/>
    <w:rsid w:val="00B31C02"/>
    <w:rsid w:val="00B31F70"/>
    <w:rsid w:val="00B32264"/>
    <w:rsid w:val="00B3244E"/>
    <w:rsid w:val="00B326DE"/>
    <w:rsid w:val="00B3271A"/>
    <w:rsid w:val="00B32FEE"/>
    <w:rsid w:val="00B330E9"/>
    <w:rsid w:val="00B3360D"/>
    <w:rsid w:val="00B33B8E"/>
    <w:rsid w:val="00B33BD3"/>
    <w:rsid w:val="00B33DBD"/>
    <w:rsid w:val="00B3436D"/>
    <w:rsid w:val="00B3493F"/>
    <w:rsid w:val="00B34C64"/>
    <w:rsid w:val="00B34E79"/>
    <w:rsid w:val="00B3592A"/>
    <w:rsid w:val="00B36010"/>
    <w:rsid w:val="00B3765A"/>
    <w:rsid w:val="00B37792"/>
    <w:rsid w:val="00B37CEF"/>
    <w:rsid w:val="00B37D95"/>
    <w:rsid w:val="00B37DB5"/>
    <w:rsid w:val="00B37EFC"/>
    <w:rsid w:val="00B400C9"/>
    <w:rsid w:val="00B4015F"/>
    <w:rsid w:val="00B40333"/>
    <w:rsid w:val="00B403E3"/>
    <w:rsid w:val="00B40976"/>
    <w:rsid w:val="00B41326"/>
    <w:rsid w:val="00B414A0"/>
    <w:rsid w:val="00B4159A"/>
    <w:rsid w:val="00B42173"/>
    <w:rsid w:val="00B42A7F"/>
    <w:rsid w:val="00B42B38"/>
    <w:rsid w:val="00B43418"/>
    <w:rsid w:val="00B43A0A"/>
    <w:rsid w:val="00B43BBC"/>
    <w:rsid w:val="00B43D53"/>
    <w:rsid w:val="00B43EB6"/>
    <w:rsid w:val="00B43F52"/>
    <w:rsid w:val="00B43F9E"/>
    <w:rsid w:val="00B44134"/>
    <w:rsid w:val="00B446C8"/>
    <w:rsid w:val="00B447DB"/>
    <w:rsid w:val="00B455B0"/>
    <w:rsid w:val="00B457B5"/>
    <w:rsid w:val="00B458DD"/>
    <w:rsid w:val="00B45B7A"/>
    <w:rsid w:val="00B45F7F"/>
    <w:rsid w:val="00B46711"/>
    <w:rsid w:val="00B46A90"/>
    <w:rsid w:val="00B47268"/>
    <w:rsid w:val="00B47355"/>
    <w:rsid w:val="00B47789"/>
    <w:rsid w:val="00B47D59"/>
    <w:rsid w:val="00B47FDB"/>
    <w:rsid w:val="00B5030A"/>
    <w:rsid w:val="00B506C1"/>
    <w:rsid w:val="00B5086C"/>
    <w:rsid w:val="00B50A13"/>
    <w:rsid w:val="00B510E8"/>
    <w:rsid w:val="00B51D34"/>
    <w:rsid w:val="00B5203E"/>
    <w:rsid w:val="00B52284"/>
    <w:rsid w:val="00B523A8"/>
    <w:rsid w:val="00B523B9"/>
    <w:rsid w:val="00B52707"/>
    <w:rsid w:val="00B5318B"/>
    <w:rsid w:val="00B5322E"/>
    <w:rsid w:val="00B538E8"/>
    <w:rsid w:val="00B5421F"/>
    <w:rsid w:val="00B5500C"/>
    <w:rsid w:val="00B5505E"/>
    <w:rsid w:val="00B550B1"/>
    <w:rsid w:val="00B55411"/>
    <w:rsid w:val="00B5567C"/>
    <w:rsid w:val="00B5619B"/>
    <w:rsid w:val="00B565A6"/>
    <w:rsid w:val="00B569DC"/>
    <w:rsid w:val="00B572E0"/>
    <w:rsid w:val="00B57F3A"/>
    <w:rsid w:val="00B6047F"/>
    <w:rsid w:val="00B609C4"/>
    <w:rsid w:val="00B6101B"/>
    <w:rsid w:val="00B61228"/>
    <w:rsid w:val="00B6137A"/>
    <w:rsid w:val="00B61470"/>
    <w:rsid w:val="00B61553"/>
    <w:rsid w:val="00B61CA5"/>
    <w:rsid w:val="00B61D15"/>
    <w:rsid w:val="00B62A17"/>
    <w:rsid w:val="00B62F37"/>
    <w:rsid w:val="00B6316E"/>
    <w:rsid w:val="00B6337F"/>
    <w:rsid w:val="00B637C7"/>
    <w:rsid w:val="00B63940"/>
    <w:rsid w:val="00B63B80"/>
    <w:rsid w:val="00B640B2"/>
    <w:rsid w:val="00B643AC"/>
    <w:rsid w:val="00B6459C"/>
    <w:rsid w:val="00B6468E"/>
    <w:rsid w:val="00B647F4"/>
    <w:rsid w:val="00B64C91"/>
    <w:rsid w:val="00B64CF0"/>
    <w:rsid w:val="00B64D24"/>
    <w:rsid w:val="00B65324"/>
    <w:rsid w:val="00B65343"/>
    <w:rsid w:val="00B65344"/>
    <w:rsid w:val="00B65AAF"/>
    <w:rsid w:val="00B66344"/>
    <w:rsid w:val="00B66AD3"/>
    <w:rsid w:val="00B67752"/>
    <w:rsid w:val="00B701C6"/>
    <w:rsid w:val="00B70955"/>
    <w:rsid w:val="00B71454"/>
    <w:rsid w:val="00B7149B"/>
    <w:rsid w:val="00B71800"/>
    <w:rsid w:val="00B71FF9"/>
    <w:rsid w:val="00B723FF"/>
    <w:rsid w:val="00B72C24"/>
    <w:rsid w:val="00B72F1A"/>
    <w:rsid w:val="00B73007"/>
    <w:rsid w:val="00B73823"/>
    <w:rsid w:val="00B73849"/>
    <w:rsid w:val="00B7413A"/>
    <w:rsid w:val="00B74FBD"/>
    <w:rsid w:val="00B75C46"/>
    <w:rsid w:val="00B75C81"/>
    <w:rsid w:val="00B76297"/>
    <w:rsid w:val="00B766B6"/>
    <w:rsid w:val="00B76926"/>
    <w:rsid w:val="00B76C0D"/>
    <w:rsid w:val="00B772CA"/>
    <w:rsid w:val="00B773AC"/>
    <w:rsid w:val="00B77477"/>
    <w:rsid w:val="00B805DD"/>
    <w:rsid w:val="00B805F4"/>
    <w:rsid w:val="00B80682"/>
    <w:rsid w:val="00B80760"/>
    <w:rsid w:val="00B80BFC"/>
    <w:rsid w:val="00B80F22"/>
    <w:rsid w:val="00B80FF2"/>
    <w:rsid w:val="00B813FF"/>
    <w:rsid w:val="00B817D3"/>
    <w:rsid w:val="00B81B29"/>
    <w:rsid w:val="00B81B46"/>
    <w:rsid w:val="00B81C93"/>
    <w:rsid w:val="00B81EAD"/>
    <w:rsid w:val="00B81EBC"/>
    <w:rsid w:val="00B821DC"/>
    <w:rsid w:val="00B82465"/>
    <w:rsid w:val="00B82542"/>
    <w:rsid w:val="00B82886"/>
    <w:rsid w:val="00B828A6"/>
    <w:rsid w:val="00B82FA8"/>
    <w:rsid w:val="00B82FAC"/>
    <w:rsid w:val="00B8335F"/>
    <w:rsid w:val="00B83538"/>
    <w:rsid w:val="00B835BD"/>
    <w:rsid w:val="00B84402"/>
    <w:rsid w:val="00B8473B"/>
    <w:rsid w:val="00B84C09"/>
    <w:rsid w:val="00B84C24"/>
    <w:rsid w:val="00B84D21"/>
    <w:rsid w:val="00B84F1D"/>
    <w:rsid w:val="00B84F6B"/>
    <w:rsid w:val="00B850BA"/>
    <w:rsid w:val="00B851F7"/>
    <w:rsid w:val="00B8523C"/>
    <w:rsid w:val="00B85B2B"/>
    <w:rsid w:val="00B86512"/>
    <w:rsid w:val="00B86E85"/>
    <w:rsid w:val="00B8735E"/>
    <w:rsid w:val="00B87952"/>
    <w:rsid w:val="00B87C43"/>
    <w:rsid w:val="00B87E82"/>
    <w:rsid w:val="00B90BAE"/>
    <w:rsid w:val="00B910B9"/>
    <w:rsid w:val="00B91301"/>
    <w:rsid w:val="00B919E7"/>
    <w:rsid w:val="00B923AC"/>
    <w:rsid w:val="00B93C88"/>
    <w:rsid w:val="00B94013"/>
    <w:rsid w:val="00B94315"/>
    <w:rsid w:val="00B94C1F"/>
    <w:rsid w:val="00B95183"/>
    <w:rsid w:val="00B95DD2"/>
    <w:rsid w:val="00B96218"/>
    <w:rsid w:val="00B9638E"/>
    <w:rsid w:val="00B964E1"/>
    <w:rsid w:val="00B971B9"/>
    <w:rsid w:val="00B97936"/>
    <w:rsid w:val="00B97C23"/>
    <w:rsid w:val="00BA00DF"/>
    <w:rsid w:val="00BA063A"/>
    <w:rsid w:val="00BA0A3C"/>
    <w:rsid w:val="00BA1153"/>
    <w:rsid w:val="00BA1CC4"/>
    <w:rsid w:val="00BA28C7"/>
    <w:rsid w:val="00BA2AFD"/>
    <w:rsid w:val="00BA2B91"/>
    <w:rsid w:val="00BA2D15"/>
    <w:rsid w:val="00BA328A"/>
    <w:rsid w:val="00BA335F"/>
    <w:rsid w:val="00BA3844"/>
    <w:rsid w:val="00BA4214"/>
    <w:rsid w:val="00BA4BA6"/>
    <w:rsid w:val="00BA4BEF"/>
    <w:rsid w:val="00BA4DCE"/>
    <w:rsid w:val="00BA5630"/>
    <w:rsid w:val="00BA57B6"/>
    <w:rsid w:val="00BA5F37"/>
    <w:rsid w:val="00BA609C"/>
    <w:rsid w:val="00BA636C"/>
    <w:rsid w:val="00BA63FD"/>
    <w:rsid w:val="00BA661C"/>
    <w:rsid w:val="00BA76CE"/>
    <w:rsid w:val="00BA7752"/>
    <w:rsid w:val="00BA78A7"/>
    <w:rsid w:val="00BA7D19"/>
    <w:rsid w:val="00BA7EA6"/>
    <w:rsid w:val="00BA7ED0"/>
    <w:rsid w:val="00BA7F2C"/>
    <w:rsid w:val="00BB01D6"/>
    <w:rsid w:val="00BB0670"/>
    <w:rsid w:val="00BB0ED9"/>
    <w:rsid w:val="00BB1538"/>
    <w:rsid w:val="00BB168D"/>
    <w:rsid w:val="00BB18C4"/>
    <w:rsid w:val="00BB219B"/>
    <w:rsid w:val="00BB254D"/>
    <w:rsid w:val="00BB2B1B"/>
    <w:rsid w:val="00BB2C29"/>
    <w:rsid w:val="00BB309B"/>
    <w:rsid w:val="00BB31F7"/>
    <w:rsid w:val="00BB3315"/>
    <w:rsid w:val="00BB3A48"/>
    <w:rsid w:val="00BB3E89"/>
    <w:rsid w:val="00BB4454"/>
    <w:rsid w:val="00BB460D"/>
    <w:rsid w:val="00BB4C7C"/>
    <w:rsid w:val="00BB52DB"/>
    <w:rsid w:val="00BB5755"/>
    <w:rsid w:val="00BB5F16"/>
    <w:rsid w:val="00BB60FE"/>
    <w:rsid w:val="00BB611B"/>
    <w:rsid w:val="00BB6504"/>
    <w:rsid w:val="00BB67EC"/>
    <w:rsid w:val="00BB69BE"/>
    <w:rsid w:val="00BB6AEA"/>
    <w:rsid w:val="00BB6F6B"/>
    <w:rsid w:val="00BB76B6"/>
    <w:rsid w:val="00BB7800"/>
    <w:rsid w:val="00BB7E0A"/>
    <w:rsid w:val="00BB7E16"/>
    <w:rsid w:val="00BB7EF2"/>
    <w:rsid w:val="00BB7FC2"/>
    <w:rsid w:val="00BC0026"/>
    <w:rsid w:val="00BC0482"/>
    <w:rsid w:val="00BC08B7"/>
    <w:rsid w:val="00BC0BE9"/>
    <w:rsid w:val="00BC0D4B"/>
    <w:rsid w:val="00BC0F3E"/>
    <w:rsid w:val="00BC0F94"/>
    <w:rsid w:val="00BC10D6"/>
    <w:rsid w:val="00BC1786"/>
    <w:rsid w:val="00BC1B04"/>
    <w:rsid w:val="00BC1F2B"/>
    <w:rsid w:val="00BC1FF6"/>
    <w:rsid w:val="00BC21BC"/>
    <w:rsid w:val="00BC2B3E"/>
    <w:rsid w:val="00BC33F3"/>
    <w:rsid w:val="00BC3894"/>
    <w:rsid w:val="00BC4065"/>
    <w:rsid w:val="00BC4066"/>
    <w:rsid w:val="00BC42E4"/>
    <w:rsid w:val="00BC4AC3"/>
    <w:rsid w:val="00BC4B9E"/>
    <w:rsid w:val="00BC4C0E"/>
    <w:rsid w:val="00BC4D64"/>
    <w:rsid w:val="00BC58F5"/>
    <w:rsid w:val="00BC59F1"/>
    <w:rsid w:val="00BC5C18"/>
    <w:rsid w:val="00BC5C2E"/>
    <w:rsid w:val="00BC5DF5"/>
    <w:rsid w:val="00BC6518"/>
    <w:rsid w:val="00BC6686"/>
    <w:rsid w:val="00BC6792"/>
    <w:rsid w:val="00BC6B55"/>
    <w:rsid w:val="00BC74F8"/>
    <w:rsid w:val="00BC7B7D"/>
    <w:rsid w:val="00BC7BCD"/>
    <w:rsid w:val="00BC7D14"/>
    <w:rsid w:val="00BD011E"/>
    <w:rsid w:val="00BD0414"/>
    <w:rsid w:val="00BD0541"/>
    <w:rsid w:val="00BD078A"/>
    <w:rsid w:val="00BD0DB8"/>
    <w:rsid w:val="00BD0E6F"/>
    <w:rsid w:val="00BD0F21"/>
    <w:rsid w:val="00BD1214"/>
    <w:rsid w:val="00BD16BD"/>
    <w:rsid w:val="00BD16F8"/>
    <w:rsid w:val="00BD1B3F"/>
    <w:rsid w:val="00BD1E6F"/>
    <w:rsid w:val="00BD20AF"/>
    <w:rsid w:val="00BD2421"/>
    <w:rsid w:val="00BD2492"/>
    <w:rsid w:val="00BD24CF"/>
    <w:rsid w:val="00BD2806"/>
    <w:rsid w:val="00BD28F2"/>
    <w:rsid w:val="00BD291C"/>
    <w:rsid w:val="00BD325E"/>
    <w:rsid w:val="00BD368F"/>
    <w:rsid w:val="00BD394E"/>
    <w:rsid w:val="00BD3E15"/>
    <w:rsid w:val="00BD4FA3"/>
    <w:rsid w:val="00BD509D"/>
    <w:rsid w:val="00BD568E"/>
    <w:rsid w:val="00BD5841"/>
    <w:rsid w:val="00BD5F39"/>
    <w:rsid w:val="00BD6ADF"/>
    <w:rsid w:val="00BD6D3C"/>
    <w:rsid w:val="00BD6EB4"/>
    <w:rsid w:val="00BD75ED"/>
    <w:rsid w:val="00BD7666"/>
    <w:rsid w:val="00BD7878"/>
    <w:rsid w:val="00BD7B58"/>
    <w:rsid w:val="00BE0389"/>
    <w:rsid w:val="00BE0C1C"/>
    <w:rsid w:val="00BE1698"/>
    <w:rsid w:val="00BE1CC3"/>
    <w:rsid w:val="00BE1CF0"/>
    <w:rsid w:val="00BE1D4E"/>
    <w:rsid w:val="00BE1E08"/>
    <w:rsid w:val="00BE1F24"/>
    <w:rsid w:val="00BE2130"/>
    <w:rsid w:val="00BE2DF6"/>
    <w:rsid w:val="00BE2FE1"/>
    <w:rsid w:val="00BE3170"/>
    <w:rsid w:val="00BE3732"/>
    <w:rsid w:val="00BE3828"/>
    <w:rsid w:val="00BE4024"/>
    <w:rsid w:val="00BE4181"/>
    <w:rsid w:val="00BE4264"/>
    <w:rsid w:val="00BE4BA6"/>
    <w:rsid w:val="00BE4F5C"/>
    <w:rsid w:val="00BE5678"/>
    <w:rsid w:val="00BE5737"/>
    <w:rsid w:val="00BE58A7"/>
    <w:rsid w:val="00BE5E07"/>
    <w:rsid w:val="00BE5FA0"/>
    <w:rsid w:val="00BE604A"/>
    <w:rsid w:val="00BE62BA"/>
    <w:rsid w:val="00BE63B3"/>
    <w:rsid w:val="00BE6844"/>
    <w:rsid w:val="00BE6F5F"/>
    <w:rsid w:val="00BE708B"/>
    <w:rsid w:val="00BE785F"/>
    <w:rsid w:val="00BE78C4"/>
    <w:rsid w:val="00BE7919"/>
    <w:rsid w:val="00BF0048"/>
    <w:rsid w:val="00BF0284"/>
    <w:rsid w:val="00BF066F"/>
    <w:rsid w:val="00BF1340"/>
    <w:rsid w:val="00BF1499"/>
    <w:rsid w:val="00BF1AB5"/>
    <w:rsid w:val="00BF1B71"/>
    <w:rsid w:val="00BF219D"/>
    <w:rsid w:val="00BF220E"/>
    <w:rsid w:val="00BF22E5"/>
    <w:rsid w:val="00BF291F"/>
    <w:rsid w:val="00BF32BA"/>
    <w:rsid w:val="00BF3362"/>
    <w:rsid w:val="00BF33DC"/>
    <w:rsid w:val="00BF462C"/>
    <w:rsid w:val="00BF466E"/>
    <w:rsid w:val="00BF4903"/>
    <w:rsid w:val="00BF497C"/>
    <w:rsid w:val="00BF4B09"/>
    <w:rsid w:val="00BF54D7"/>
    <w:rsid w:val="00BF5884"/>
    <w:rsid w:val="00BF58CB"/>
    <w:rsid w:val="00BF5FA0"/>
    <w:rsid w:val="00BF61B3"/>
    <w:rsid w:val="00BF68CD"/>
    <w:rsid w:val="00BF6B8D"/>
    <w:rsid w:val="00BF6D58"/>
    <w:rsid w:val="00BF7741"/>
    <w:rsid w:val="00BF7DCF"/>
    <w:rsid w:val="00BF7F5C"/>
    <w:rsid w:val="00BF7F89"/>
    <w:rsid w:val="00C006B4"/>
    <w:rsid w:val="00C00737"/>
    <w:rsid w:val="00C008A3"/>
    <w:rsid w:val="00C008CD"/>
    <w:rsid w:val="00C00C78"/>
    <w:rsid w:val="00C00CC0"/>
    <w:rsid w:val="00C018A0"/>
    <w:rsid w:val="00C019F8"/>
    <w:rsid w:val="00C01D9E"/>
    <w:rsid w:val="00C029F9"/>
    <w:rsid w:val="00C03DF7"/>
    <w:rsid w:val="00C0436E"/>
    <w:rsid w:val="00C04C14"/>
    <w:rsid w:val="00C050C6"/>
    <w:rsid w:val="00C0603E"/>
    <w:rsid w:val="00C06A9E"/>
    <w:rsid w:val="00C06E1F"/>
    <w:rsid w:val="00C06E33"/>
    <w:rsid w:val="00C071E4"/>
    <w:rsid w:val="00C07B7F"/>
    <w:rsid w:val="00C07FF2"/>
    <w:rsid w:val="00C100A4"/>
    <w:rsid w:val="00C101DE"/>
    <w:rsid w:val="00C109A2"/>
    <w:rsid w:val="00C10EBA"/>
    <w:rsid w:val="00C110A9"/>
    <w:rsid w:val="00C11717"/>
    <w:rsid w:val="00C118F9"/>
    <w:rsid w:val="00C119AE"/>
    <w:rsid w:val="00C11C3B"/>
    <w:rsid w:val="00C12180"/>
    <w:rsid w:val="00C121DE"/>
    <w:rsid w:val="00C12492"/>
    <w:rsid w:val="00C12898"/>
    <w:rsid w:val="00C12A3F"/>
    <w:rsid w:val="00C12B17"/>
    <w:rsid w:val="00C12D41"/>
    <w:rsid w:val="00C1357F"/>
    <w:rsid w:val="00C13646"/>
    <w:rsid w:val="00C136B3"/>
    <w:rsid w:val="00C1372E"/>
    <w:rsid w:val="00C137BD"/>
    <w:rsid w:val="00C144A3"/>
    <w:rsid w:val="00C14C2D"/>
    <w:rsid w:val="00C14E0E"/>
    <w:rsid w:val="00C14FE6"/>
    <w:rsid w:val="00C16121"/>
    <w:rsid w:val="00C16526"/>
    <w:rsid w:val="00C17B9D"/>
    <w:rsid w:val="00C20712"/>
    <w:rsid w:val="00C21069"/>
    <w:rsid w:val="00C214BB"/>
    <w:rsid w:val="00C21CB1"/>
    <w:rsid w:val="00C22372"/>
    <w:rsid w:val="00C22399"/>
    <w:rsid w:val="00C23537"/>
    <w:rsid w:val="00C245C7"/>
    <w:rsid w:val="00C25405"/>
    <w:rsid w:val="00C2647D"/>
    <w:rsid w:val="00C26A89"/>
    <w:rsid w:val="00C274EC"/>
    <w:rsid w:val="00C27605"/>
    <w:rsid w:val="00C30143"/>
    <w:rsid w:val="00C30218"/>
    <w:rsid w:val="00C3027B"/>
    <w:rsid w:val="00C313E3"/>
    <w:rsid w:val="00C31821"/>
    <w:rsid w:val="00C31C93"/>
    <w:rsid w:val="00C325AF"/>
    <w:rsid w:val="00C327E4"/>
    <w:rsid w:val="00C331E9"/>
    <w:rsid w:val="00C3329E"/>
    <w:rsid w:val="00C33440"/>
    <w:rsid w:val="00C337D8"/>
    <w:rsid w:val="00C338BD"/>
    <w:rsid w:val="00C33BA8"/>
    <w:rsid w:val="00C34E80"/>
    <w:rsid w:val="00C352A7"/>
    <w:rsid w:val="00C352F6"/>
    <w:rsid w:val="00C355AF"/>
    <w:rsid w:val="00C35AFD"/>
    <w:rsid w:val="00C35FC7"/>
    <w:rsid w:val="00C36009"/>
    <w:rsid w:val="00C36074"/>
    <w:rsid w:val="00C36713"/>
    <w:rsid w:val="00C36A9B"/>
    <w:rsid w:val="00C36AC7"/>
    <w:rsid w:val="00C36B56"/>
    <w:rsid w:val="00C36B6A"/>
    <w:rsid w:val="00C375CB"/>
    <w:rsid w:val="00C37601"/>
    <w:rsid w:val="00C379B7"/>
    <w:rsid w:val="00C379C6"/>
    <w:rsid w:val="00C37AC3"/>
    <w:rsid w:val="00C37B85"/>
    <w:rsid w:val="00C40004"/>
    <w:rsid w:val="00C400E6"/>
    <w:rsid w:val="00C4024B"/>
    <w:rsid w:val="00C40291"/>
    <w:rsid w:val="00C40500"/>
    <w:rsid w:val="00C40AE7"/>
    <w:rsid w:val="00C40F76"/>
    <w:rsid w:val="00C41759"/>
    <w:rsid w:val="00C41846"/>
    <w:rsid w:val="00C41A7B"/>
    <w:rsid w:val="00C422B1"/>
    <w:rsid w:val="00C42A9A"/>
    <w:rsid w:val="00C44383"/>
    <w:rsid w:val="00C446CE"/>
    <w:rsid w:val="00C4485A"/>
    <w:rsid w:val="00C44B09"/>
    <w:rsid w:val="00C44BBC"/>
    <w:rsid w:val="00C44C8D"/>
    <w:rsid w:val="00C44D31"/>
    <w:rsid w:val="00C452CE"/>
    <w:rsid w:val="00C45EC1"/>
    <w:rsid w:val="00C4643E"/>
    <w:rsid w:val="00C46C84"/>
    <w:rsid w:val="00C46CA9"/>
    <w:rsid w:val="00C46CE4"/>
    <w:rsid w:val="00C4720E"/>
    <w:rsid w:val="00C475BD"/>
    <w:rsid w:val="00C47634"/>
    <w:rsid w:val="00C477D1"/>
    <w:rsid w:val="00C50273"/>
    <w:rsid w:val="00C50984"/>
    <w:rsid w:val="00C50A21"/>
    <w:rsid w:val="00C50FD9"/>
    <w:rsid w:val="00C5116D"/>
    <w:rsid w:val="00C51DFC"/>
    <w:rsid w:val="00C52602"/>
    <w:rsid w:val="00C52820"/>
    <w:rsid w:val="00C5282F"/>
    <w:rsid w:val="00C52D50"/>
    <w:rsid w:val="00C53D69"/>
    <w:rsid w:val="00C546B9"/>
    <w:rsid w:val="00C54744"/>
    <w:rsid w:val="00C548BD"/>
    <w:rsid w:val="00C549F3"/>
    <w:rsid w:val="00C558A9"/>
    <w:rsid w:val="00C5601A"/>
    <w:rsid w:val="00C5635D"/>
    <w:rsid w:val="00C56505"/>
    <w:rsid w:val="00C5656B"/>
    <w:rsid w:val="00C567ED"/>
    <w:rsid w:val="00C56E8E"/>
    <w:rsid w:val="00C571E5"/>
    <w:rsid w:val="00C57398"/>
    <w:rsid w:val="00C574C1"/>
    <w:rsid w:val="00C57A3D"/>
    <w:rsid w:val="00C6064C"/>
    <w:rsid w:val="00C60F98"/>
    <w:rsid w:val="00C61792"/>
    <w:rsid w:val="00C61FFF"/>
    <w:rsid w:val="00C62269"/>
    <w:rsid w:val="00C624A9"/>
    <w:rsid w:val="00C62569"/>
    <w:rsid w:val="00C62ABF"/>
    <w:rsid w:val="00C62D66"/>
    <w:rsid w:val="00C6369D"/>
    <w:rsid w:val="00C63BDD"/>
    <w:rsid w:val="00C63D52"/>
    <w:rsid w:val="00C6442D"/>
    <w:rsid w:val="00C6454F"/>
    <w:rsid w:val="00C6469D"/>
    <w:rsid w:val="00C649B2"/>
    <w:rsid w:val="00C65562"/>
    <w:rsid w:val="00C656ED"/>
    <w:rsid w:val="00C65734"/>
    <w:rsid w:val="00C663F4"/>
    <w:rsid w:val="00C66546"/>
    <w:rsid w:val="00C6674E"/>
    <w:rsid w:val="00C667A0"/>
    <w:rsid w:val="00C667CF"/>
    <w:rsid w:val="00C67075"/>
    <w:rsid w:val="00C6762C"/>
    <w:rsid w:val="00C67A6F"/>
    <w:rsid w:val="00C67A79"/>
    <w:rsid w:val="00C67B43"/>
    <w:rsid w:val="00C70330"/>
    <w:rsid w:val="00C7063C"/>
    <w:rsid w:val="00C7089F"/>
    <w:rsid w:val="00C708C6"/>
    <w:rsid w:val="00C715CA"/>
    <w:rsid w:val="00C71B0D"/>
    <w:rsid w:val="00C72C09"/>
    <w:rsid w:val="00C7306D"/>
    <w:rsid w:val="00C73476"/>
    <w:rsid w:val="00C736F5"/>
    <w:rsid w:val="00C74F4D"/>
    <w:rsid w:val="00C75351"/>
    <w:rsid w:val="00C7583C"/>
    <w:rsid w:val="00C7661E"/>
    <w:rsid w:val="00C76841"/>
    <w:rsid w:val="00C76C08"/>
    <w:rsid w:val="00C76EED"/>
    <w:rsid w:val="00C776AB"/>
    <w:rsid w:val="00C801EA"/>
    <w:rsid w:val="00C80755"/>
    <w:rsid w:val="00C81736"/>
    <w:rsid w:val="00C81746"/>
    <w:rsid w:val="00C81D1E"/>
    <w:rsid w:val="00C81F9B"/>
    <w:rsid w:val="00C81FF3"/>
    <w:rsid w:val="00C823EC"/>
    <w:rsid w:val="00C828FF"/>
    <w:rsid w:val="00C82A39"/>
    <w:rsid w:val="00C83D19"/>
    <w:rsid w:val="00C842FC"/>
    <w:rsid w:val="00C84BF5"/>
    <w:rsid w:val="00C85291"/>
    <w:rsid w:val="00C8566F"/>
    <w:rsid w:val="00C86196"/>
    <w:rsid w:val="00C866FE"/>
    <w:rsid w:val="00C86E1B"/>
    <w:rsid w:val="00C86F0E"/>
    <w:rsid w:val="00C87121"/>
    <w:rsid w:val="00C87442"/>
    <w:rsid w:val="00C876C3"/>
    <w:rsid w:val="00C87796"/>
    <w:rsid w:val="00C8791B"/>
    <w:rsid w:val="00C87A10"/>
    <w:rsid w:val="00C87EB4"/>
    <w:rsid w:val="00C900D9"/>
    <w:rsid w:val="00C9023C"/>
    <w:rsid w:val="00C90322"/>
    <w:rsid w:val="00C904D8"/>
    <w:rsid w:val="00C90683"/>
    <w:rsid w:val="00C90E82"/>
    <w:rsid w:val="00C9132D"/>
    <w:rsid w:val="00C91BF4"/>
    <w:rsid w:val="00C91F8C"/>
    <w:rsid w:val="00C92A6B"/>
    <w:rsid w:val="00C92D5F"/>
    <w:rsid w:val="00C933F5"/>
    <w:rsid w:val="00C93BE5"/>
    <w:rsid w:val="00C93FCE"/>
    <w:rsid w:val="00C9404A"/>
    <w:rsid w:val="00C94855"/>
    <w:rsid w:val="00C94CEB"/>
    <w:rsid w:val="00C94E80"/>
    <w:rsid w:val="00C94F3F"/>
    <w:rsid w:val="00C95EBE"/>
    <w:rsid w:val="00C963C0"/>
    <w:rsid w:val="00C96DC6"/>
    <w:rsid w:val="00C975C9"/>
    <w:rsid w:val="00C979F3"/>
    <w:rsid w:val="00C97F0B"/>
    <w:rsid w:val="00CA05EE"/>
    <w:rsid w:val="00CA0724"/>
    <w:rsid w:val="00CA0732"/>
    <w:rsid w:val="00CA0999"/>
    <w:rsid w:val="00CA0F71"/>
    <w:rsid w:val="00CA15E1"/>
    <w:rsid w:val="00CA1849"/>
    <w:rsid w:val="00CA209C"/>
    <w:rsid w:val="00CA21CA"/>
    <w:rsid w:val="00CA2426"/>
    <w:rsid w:val="00CA27AF"/>
    <w:rsid w:val="00CA2837"/>
    <w:rsid w:val="00CA2931"/>
    <w:rsid w:val="00CA2BCF"/>
    <w:rsid w:val="00CA2DE2"/>
    <w:rsid w:val="00CA2E91"/>
    <w:rsid w:val="00CA2F10"/>
    <w:rsid w:val="00CA3A86"/>
    <w:rsid w:val="00CA3F9C"/>
    <w:rsid w:val="00CA43C4"/>
    <w:rsid w:val="00CA44FD"/>
    <w:rsid w:val="00CA46BE"/>
    <w:rsid w:val="00CA4819"/>
    <w:rsid w:val="00CA4C86"/>
    <w:rsid w:val="00CA4FBE"/>
    <w:rsid w:val="00CA5881"/>
    <w:rsid w:val="00CA5B40"/>
    <w:rsid w:val="00CA5E41"/>
    <w:rsid w:val="00CA6160"/>
    <w:rsid w:val="00CA61EC"/>
    <w:rsid w:val="00CA673A"/>
    <w:rsid w:val="00CA6CF7"/>
    <w:rsid w:val="00CA6FC4"/>
    <w:rsid w:val="00CA722C"/>
    <w:rsid w:val="00CA74B5"/>
    <w:rsid w:val="00CA780C"/>
    <w:rsid w:val="00CA7872"/>
    <w:rsid w:val="00CB010A"/>
    <w:rsid w:val="00CB012E"/>
    <w:rsid w:val="00CB0288"/>
    <w:rsid w:val="00CB050B"/>
    <w:rsid w:val="00CB0789"/>
    <w:rsid w:val="00CB0817"/>
    <w:rsid w:val="00CB0A87"/>
    <w:rsid w:val="00CB1094"/>
    <w:rsid w:val="00CB1331"/>
    <w:rsid w:val="00CB1377"/>
    <w:rsid w:val="00CB13E2"/>
    <w:rsid w:val="00CB179D"/>
    <w:rsid w:val="00CB1A60"/>
    <w:rsid w:val="00CB1E2B"/>
    <w:rsid w:val="00CB23F3"/>
    <w:rsid w:val="00CB2ABF"/>
    <w:rsid w:val="00CB3000"/>
    <w:rsid w:val="00CB3190"/>
    <w:rsid w:val="00CB39E0"/>
    <w:rsid w:val="00CB4863"/>
    <w:rsid w:val="00CB5203"/>
    <w:rsid w:val="00CB54D7"/>
    <w:rsid w:val="00CB5A6D"/>
    <w:rsid w:val="00CB5C43"/>
    <w:rsid w:val="00CB5D7B"/>
    <w:rsid w:val="00CB5E0E"/>
    <w:rsid w:val="00CB673B"/>
    <w:rsid w:val="00CB7242"/>
    <w:rsid w:val="00CB7574"/>
    <w:rsid w:val="00CC0196"/>
    <w:rsid w:val="00CC06B7"/>
    <w:rsid w:val="00CC0714"/>
    <w:rsid w:val="00CC0A51"/>
    <w:rsid w:val="00CC0FF1"/>
    <w:rsid w:val="00CC17A6"/>
    <w:rsid w:val="00CC19A1"/>
    <w:rsid w:val="00CC1AE2"/>
    <w:rsid w:val="00CC2F66"/>
    <w:rsid w:val="00CC3076"/>
    <w:rsid w:val="00CC39EE"/>
    <w:rsid w:val="00CC39F8"/>
    <w:rsid w:val="00CC3C13"/>
    <w:rsid w:val="00CC3D3D"/>
    <w:rsid w:val="00CC3E96"/>
    <w:rsid w:val="00CC3F52"/>
    <w:rsid w:val="00CC5679"/>
    <w:rsid w:val="00CC5AD5"/>
    <w:rsid w:val="00CC5D68"/>
    <w:rsid w:val="00CC618C"/>
    <w:rsid w:val="00CC6300"/>
    <w:rsid w:val="00CC6323"/>
    <w:rsid w:val="00CC64D3"/>
    <w:rsid w:val="00CC6664"/>
    <w:rsid w:val="00CC67BC"/>
    <w:rsid w:val="00CC6A3E"/>
    <w:rsid w:val="00CC79AF"/>
    <w:rsid w:val="00CC79D7"/>
    <w:rsid w:val="00CC7F84"/>
    <w:rsid w:val="00CD0F8E"/>
    <w:rsid w:val="00CD157A"/>
    <w:rsid w:val="00CD15A2"/>
    <w:rsid w:val="00CD1762"/>
    <w:rsid w:val="00CD18A8"/>
    <w:rsid w:val="00CD18F0"/>
    <w:rsid w:val="00CD2047"/>
    <w:rsid w:val="00CD260D"/>
    <w:rsid w:val="00CD319A"/>
    <w:rsid w:val="00CD3AFC"/>
    <w:rsid w:val="00CD3BE6"/>
    <w:rsid w:val="00CD4FD8"/>
    <w:rsid w:val="00CD5327"/>
    <w:rsid w:val="00CD5F3E"/>
    <w:rsid w:val="00CD6487"/>
    <w:rsid w:val="00CD65BF"/>
    <w:rsid w:val="00CD758F"/>
    <w:rsid w:val="00CD764B"/>
    <w:rsid w:val="00CD76DA"/>
    <w:rsid w:val="00CD7794"/>
    <w:rsid w:val="00CD7DF2"/>
    <w:rsid w:val="00CD7EA1"/>
    <w:rsid w:val="00CE05A2"/>
    <w:rsid w:val="00CE06CD"/>
    <w:rsid w:val="00CE0A05"/>
    <w:rsid w:val="00CE0CBB"/>
    <w:rsid w:val="00CE117D"/>
    <w:rsid w:val="00CE12C7"/>
    <w:rsid w:val="00CE145B"/>
    <w:rsid w:val="00CE14C3"/>
    <w:rsid w:val="00CE16BC"/>
    <w:rsid w:val="00CE180F"/>
    <w:rsid w:val="00CE1974"/>
    <w:rsid w:val="00CE1B05"/>
    <w:rsid w:val="00CE1F3D"/>
    <w:rsid w:val="00CE2866"/>
    <w:rsid w:val="00CE2D1F"/>
    <w:rsid w:val="00CE2F0F"/>
    <w:rsid w:val="00CE381B"/>
    <w:rsid w:val="00CE39CD"/>
    <w:rsid w:val="00CE3B3C"/>
    <w:rsid w:val="00CE3BE8"/>
    <w:rsid w:val="00CE3F4C"/>
    <w:rsid w:val="00CE404E"/>
    <w:rsid w:val="00CE4341"/>
    <w:rsid w:val="00CE4B15"/>
    <w:rsid w:val="00CE53F4"/>
    <w:rsid w:val="00CE5419"/>
    <w:rsid w:val="00CE5581"/>
    <w:rsid w:val="00CE57CB"/>
    <w:rsid w:val="00CE67C5"/>
    <w:rsid w:val="00CE6A19"/>
    <w:rsid w:val="00CE7144"/>
    <w:rsid w:val="00CE7283"/>
    <w:rsid w:val="00CE7336"/>
    <w:rsid w:val="00CE7594"/>
    <w:rsid w:val="00CE7A34"/>
    <w:rsid w:val="00CE7BA4"/>
    <w:rsid w:val="00CE7C88"/>
    <w:rsid w:val="00CE7D71"/>
    <w:rsid w:val="00CF0C24"/>
    <w:rsid w:val="00CF0CCE"/>
    <w:rsid w:val="00CF0E6E"/>
    <w:rsid w:val="00CF0EF5"/>
    <w:rsid w:val="00CF1048"/>
    <w:rsid w:val="00CF12E6"/>
    <w:rsid w:val="00CF1ED8"/>
    <w:rsid w:val="00CF2265"/>
    <w:rsid w:val="00CF268A"/>
    <w:rsid w:val="00CF2D9C"/>
    <w:rsid w:val="00CF2DE6"/>
    <w:rsid w:val="00CF33FF"/>
    <w:rsid w:val="00CF3617"/>
    <w:rsid w:val="00CF3858"/>
    <w:rsid w:val="00CF3A08"/>
    <w:rsid w:val="00CF3BCD"/>
    <w:rsid w:val="00CF3CAF"/>
    <w:rsid w:val="00CF3DC4"/>
    <w:rsid w:val="00CF3EC7"/>
    <w:rsid w:val="00CF3FBE"/>
    <w:rsid w:val="00CF4D0A"/>
    <w:rsid w:val="00CF4E45"/>
    <w:rsid w:val="00CF52BC"/>
    <w:rsid w:val="00CF6685"/>
    <w:rsid w:val="00CF6943"/>
    <w:rsid w:val="00CF6AA6"/>
    <w:rsid w:val="00CF6C81"/>
    <w:rsid w:val="00CF6CB0"/>
    <w:rsid w:val="00CF70E0"/>
    <w:rsid w:val="00CF7D0D"/>
    <w:rsid w:val="00D00335"/>
    <w:rsid w:val="00D00575"/>
    <w:rsid w:val="00D006BA"/>
    <w:rsid w:val="00D00DE2"/>
    <w:rsid w:val="00D0122A"/>
    <w:rsid w:val="00D014CA"/>
    <w:rsid w:val="00D017E3"/>
    <w:rsid w:val="00D01CB1"/>
    <w:rsid w:val="00D024CA"/>
    <w:rsid w:val="00D025C2"/>
    <w:rsid w:val="00D03027"/>
    <w:rsid w:val="00D03463"/>
    <w:rsid w:val="00D0356E"/>
    <w:rsid w:val="00D03624"/>
    <w:rsid w:val="00D03AA1"/>
    <w:rsid w:val="00D03E03"/>
    <w:rsid w:val="00D043A7"/>
    <w:rsid w:val="00D046C6"/>
    <w:rsid w:val="00D047D5"/>
    <w:rsid w:val="00D047D6"/>
    <w:rsid w:val="00D0487C"/>
    <w:rsid w:val="00D04C9D"/>
    <w:rsid w:val="00D05239"/>
    <w:rsid w:val="00D0537A"/>
    <w:rsid w:val="00D0609F"/>
    <w:rsid w:val="00D060AC"/>
    <w:rsid w:val="00D06518"/>
    <w:rsid w:val="00D06B51"/>
    <w:rsid w:val="00D071B3"/>
    <w:rsid w:val="00D07622"/>
    <w:rsid w:val="00D076B1"/>
    <w:rsid w:val="00D07AEA"/>
    <w:rsid w:val="00D07F7B"/>
    <w:rsid w:val="00D103B3"/>
    <w:rsid w:val="00D105D9"/>
    <w:rsid w:val="00D10837"/>
    <w:rsid w:val="00D10D33"/>
    <w:rsid w:val="00D10F56"/>
    <w:rsid w:val="00D113A8"/>
    <w:rsid w:val="00D11867"/>
    <w:rsid w:val="00D11CF0"/>
    <w:rsid w:val="00D11D25"/>
    <w:rsid w:val="00D1236A"/>
    <w:rsid w:val="00D12427"/>
    <w:rsid w:val="00D129AF"/>
    <w:rsid w:val="00D12B87"/>
    <w:rsid w:val="00D1361A"/>
    <w:rsid w:val="00D1376E"/>
    <w:rsid w:val="00D13A6D"/>
    <w:rsid w:val="00D14D49"/>
    <w:rsid w:val="00D14FE1"/>
    <w:rsid w:val="00D15004"/>
    <w:rsid w:val="00D151D4"/>
    <w:rsid w:val="00D169A3"/>
    <w:rsid w:val="00D201BA"/>
    <w:rsid w:val="00D2094D"/>
    <w:rsid w:val="00D20D00"/>
    <w:rsid w:val="00D20FCF"/>
    <w:rsid w:val="00D21817"/>
    <w:rsid w:val="00D21F13"/>
    <w:rsid w:val="00D221A5"/>
    <w:rsid w:val="00D22960"/>
    <w:rsid w:val="00D23CDB"/>
    <w:rsid w:val="00D23F49"/>
    <w:rsid w:val="00D242C4"/>
    <w:rsid w:val="00D24437"/>
    <w:rsid w:val="00D245E4"/>
    <w:rsid w:val="00D24D72"/>
    <w:rsid w:val="00D250D2"/>
    <w:rsid w:val="00D252D7"/>
    <w:rsid w:val="00D25423"/>
    <w:rsid w:val="00D255A4"/>
    <w:rsid w:val="00D25B90"/>
    <w:rsid w:val="00D25BE6"/>
    <w:rsid w:val="00D25FB3"/>
    <w:rsid w:val="00D2662C"/>
    <w:rsid w:val="00D266E2"/>
    <w:rsid w:val="00D268CD"/>
    <w:rsid w:val="00D26E43"/>
    <w:rsid w:val="00D270EB"/>
    <w:rsid w:val="00D273E6"/>
    <w:rsid w:val="00D27CCF"/>
    <w:rsid w:val="00D27CE0"/>
    <w:rsid w:val="00D27E28"/>
    <w:rsid w:val="00D300CB"/>
    <w:rsid w:val="00D30881"/>
    <w:rsid w:val="00D310EC"/>
    <w:rsid w:val="00D312FE"/>
    <w:rsid w:val="00D317B0"/>
    <w:rsid w:val="00D319A7"/>
    <w:rsid w:val="00D31A9D"/>
    <w:rsid w:val="00D31B9B"/>
    <w:rsid w:val="00D32401"/>
    <w:rsid w:val="00D324B6"/>
    <w:rsid w:val="00D326F8"/>
    <w:rsid w:val="00D32A6D"/>
    <w:rsid w:val="00D32DC0"/>
    <w:rsid w:val="00D32E67"/>
    <w:rsid w:val="00D33259"/>
    <w:rsid w:val="00D33C29"/>
    <w:rsid w:val="00D34312"/>
    <w:rsid w:val="00D3440A"/>
    <w:rsid w:val="00D347FD"/>
    <w:rsid w:val="00D34A46"/>
    <w:rsid w:val="00D34AB2"/>
    <w:rsid w:val="00D34BC6"/>
    <w:rsid w:val="00D34C54"/>
    <w:rsid w:val="00D3566D"/>
    <w:rsid w:val="00D35C07"/>
    <w:rsid w:val="00D36431"/>
    <w:rsid w:val="00D36AA1"/>
    <w:rsid w:val="00D36F47"/>
    <w:rsid w:val="00D37018"/>
    <w:rsid w:val="00D372C4"/>
    <w:rsid w:val="00D40FA0"/>
    <w:rsid w:val="00D40FC2"/>
    <w:rsid w:val="00D410D8"/>
    <w:rsid w:val="00D411BC"/>
    <w:rsid w:val="00D42040"/>
    <w:rsid w:val="00D429D9"/>
    <w:rsid w:val="00D42B53"/>
    <w:rsid w:val="00D43246"/>
    <w:rsid w:val="00D43409"/>
    <w:rsid w:val="00D43441"/>
    <w:rsid w:val="00D43766"/>
    <w:rsid w:val="00D437CD"/>
    <w:rsid w:val="00D43B6E"/>
    <w:rsid w:val="00D43D09"/>
    <w:rsid w:val="00D441C9"/>
    <w:rsid w:val="00D44903"/>
    <w:rsid w:val="00D45276"/>
    <w:rsid w:val="00D4546F"/>
    <w:rsid w:val="00D4569C"/>
    <w:rsid w:val="00D4575D"/>
    <w:rsid w:val="00D457E4"/>
    <w:rsid w:val="00D45D16"/>
    <w:rsid w:val="00D45D52"/>
    <w:rsid w:val="00D46471"/>
    <w:rsid w:val="00D467DB"/>
    <w:rsid w:val="00D47205"/>
    <w:rsid w:val="00D474C6"/>
    <w:rsid w:val="00D4794F"/>
    <w:rsid w:val="00D50220"/>
    <w:rsid w:val="00D50322"/>
    <w:rsid w:val="00D50619"/>
    <w:rsid w:val="00D50B1B"/>
    <w:rsid w:val="00D50FB5"/>
    <w:rsid w:val="00D5100E"/>
    <w:rsid w:val="00D5140B"/>
    <w:rsid w:val="00D518B0"/>
    <w:rsid w:val="00D51E33"/>
    <w:rsid w:val="00D525B9"/>
    <w:rsid w:val="00D534E6"/>
    <w:rsid w:val="00D5376F"/>
    <w:rsid w:val="00D53AA6"/>
    <w:rsid w:val="00D53BFC"/>
    <w:rsid w:val="00D53C3D"/>
    <w:rsid w:val="00D54770"/>
    <w:rsid w:val="00D54BFD"/>
    <w:rsid w:val="00D55333"/>
    <w:rsid w:val="00D55523"/>
    <w:rsid w:val="00D55A56"/>
    <w:rsid w:val="00D564F3"/>
    <w:rsid w:val="00D5664A"/>
    <w:rsid w:val="00D5668C"/>
    <w:rsid w:val="00D5686C"/>
    <w:rsid w:val="00D5693A"/>
    <w:rsid w:val="00D56A1A"/>
    <w:rsid w:val="00D56C4B"/>
    <w:rsid w:val="00D56D0D"/>
    <w:rsid w:val="00D571A8"/>
    <w:rsid w:val="00D57231"/>
    <w:rsid w:val="00D57ECB"/>
    <w:rsid w:val="00D60BF6"/>
    <w:rsid w:val="00D61981"/>
    <w:rsid w:val="00D61A66"/>
    <w:rsid w:val="00D61C00"/>
    <w:rsid w:val="00D627ED"/>
    <w:rsid w:val="00D628C6"/>
    <w:rsid w:val="00D62BEE"/>
    <w:rsid w:val="00D63465"/>
    <w:rsid w:val="00D634AA"/>
    <w:rsid w:val="00D636C2"/>
    <w:rsid w:val="00D63D6C"/>
    <w:rsid w:val="00D6416A"/>
    <w:rsid w:val="00D6491D"/>
    <w:rsid w:val="00D65207"/>
    <w:rsid w:val="00D657DD"/>
    <w:rsid w:val="00D659A0"/>
    <w:rsid w:val="00D66FFA"/>
    <w:rsid w:val="00D672F3"/>
    <w:rsid w:val="00D675A5"/>
    <w:rsid w:val="00D675DA"/>
    <w:rsid w:val="00D67AF2"/>
    <w:rsid w:val="00D70327"/>
    <w:rsid w:val="00D703B9"/>
    <w:rsid w:val="00D709D7"/>
    <w:rsid w:val="00D7132C"/>
    <w:rsid w:val="00D71460"/>
    <w:rsid w:val="00D71F91"/>
    <w:rsid w:val="00D7251D"/>
    <w:rsid w:val="00D7259D"/>
    <w:rsid w:val="00D72A5F"/>
    <w:rsid w:val="00D736B4"/>
    <w:rsid w:val="00D73A41"/>
    <w:rsid w:val="00D73EC7"/>
    <w:rsid w:val="00D74170"/>
    <w:rsid w:val="00D749E3"/>
    <w:rsid w:val="00D74B3F"/>
    <w:rsid w:val="00D74B63"/>
    <w:rsid w:val="00D74FD4"/>
    <w:rsid w:val="00D754D0"/>
    <w:rsid w:val="00D75A04"/>
    <w:rsid w:val="00D75CF6"/>
    <w:rsid w:val="00D761CB"/>
    <w:rsid w:val="00D764AC"/>
    <w:rsid w:val="00D766EB"/>
    <w:rsid w:val="00D767FE"/>
    <w:rsid w:val="00D7686E"/>
    <w:rsid w:val="00D7693E"/>
    <w:rsid w:val="00D76A83"/>
    <w:rsid w:val="00D77300"/>
    <w:rsid w:val="00D77319"/>
    <w:rsid w:val="00D77771"/>
    <w:rsid w:val="00D778CD"/>
    <w:rsid w:val="00D80478"/>
    <w:rsid w:val="00D80700"/>
    <w:rsid w:val="00D80DE5"/>
    <w:rsid w:val="00D80FA9"/>
    <w:rsid w:val="00D8107D"/>
    <w:rsid w:val="00D81962"/>
    <w:rsid w:val="00D81C97"/>
    <w:rsid w:val="00D81E2F"/>
    <w:rsid w:val="00D82031"/>
    <w:rsid w:val="00D821D0"/>
    <w:rsid w:val="00D822B7"/>
    <w:rsid w:val="00D8240B"/>
    <w:rsid w:val="00D8242D"/>
    <w:rsid w:val="00D82995"/>
    <w:rsid w:val="00D82EEF"/>
    <w:rsid w:val="00D8356E"/>
    <w:rsid w:val="00D835C9"/>
    <w:rsid w:val="00D83660"/>
    <w:rsid w:val="00D83EAA"/>
    <w:rsid w:val="00D840E4"/>
    <w:rsid w:val="00D84AA3"/>
    <w:rsid w:val="00D84C5F"/>
    <w:rsid w:val="00D85E68"/>
    <w:rsid w:val="00D867DD"/>
    <w:rsid w:val="00D86844"/>
    <w:rsid w:val="00D86AEC"/>
    <w:rsid w:val="00D86C80"/>
    <w:rsid w:val="00D87104"/>
    <w:rsid w:val="00D87120"/>
    <w:rsid w:val="00D87502"/>
    <w:rsid w:val="00D87576"/>
    <w:rsid w:val="00D87859"/>
    <w:rsid w:val="00D87A43"/>
    <w:rsid w:val="00D87C6F"/>
    <w:rsid w:val="00D87E64"/>
    <w:rsid w:val="00D906DD"/>
    <w:rsid w:val="00D90A9E"/>
    <w:rsid w:val="00D91251"/>
    <w:rsid w:val="00D912BD"/>
    <w:rsid w:val="00D91665"/>
    <w:rsid w:val="00D91969"/>
    <w:rsid w:val="00D91976"/>
    <w:rsid w:val="00D91FA4"/>
    <w:rsid w:val="00D928A6"/>
    <w:rsid w:val="00D92E70"/>
    <w:rsid w:val="00D931EB"/>
    <w:rsid w:val="00D93751"/>
    <w:rsid w:val="00D94075"/>
    <w:rsid w:val="00D946C1"/>
    <w:rsid w:val="00D94E73"/>
    <w:rsid w:val="00D94EF3"/>
    <w:rsid w:val="00D95101"/>
    <w:rsid w:val="00D966AC"/>
    <w:rsid w:val="00D96D48"/>
    <w:rsid w:val="00D97AA4"/>
    <w:rsid w:val="00D97DA4"/>
    <w:rsid w:val="00DA072A"/>
    <w:rsid w:val="00DA0A91"/>
    <w:rsid w:val="00DA1344"/>
    <w:rsid w:val="00DA1C2C"/>
    <w:rsid w:val="00DA1E51"/>
    <w:rsid w:val="00DA2216"/>
    <w:rsid w:val="00DA2D47"/>
    <w:rsid w:val="00DA2E7F"/>
    <w:rsid w:val="00DA315F"/>
    <w:rsid w:val="00DA339E"/>
    <w:rsid w:val="00DA3A79"/>
    <w:rsid w:val="00DA3D41"/>
    <w:rsid w:val="00DA434D"/>
    <w:rsid w:val="00DA4995"/>
    <w:rsid w:val="00DA4AA8"/>
    <w:rsid w:val="00DA4C83"/>
    <w:rsid w:val="00DA4C98"/>
    <w:rsid w:val="00DA535F"/>
    <w:rsid w:val="00DA57A1"/>
    <w:rsid w:val="00DA5F2C"/>
    <w:rsid w:val="00DA63C1"/>
    <w:rsid w:val="00DA6609"/>
    <w:rsid w:val="00DA6791"/>
    <w:rsid w:val="00DA7332"/>
    <w:rsid w:val="00DB03E2"/>
    <w:rsid w:val="00DB103B"/>
    <w:rsid w:val="00DB1071"/>
    <w:rsid w:val="00DB138C"/>
    <w:rsid w:val="00DB1C3F"/>
    <w:rsid w:val="00DB2B17"/>
    <w:rsid w:val="00DB2C3F"/>
    <w:rsid w:val="00DB31BE"/>
    <w:rsid w:val="00DB390F"/>
    <w:rsid w:val="00DB3CAA"/>
    <w:rsid w:val="00DB3D38"/>
    <w:rsid w:val="00DB3FA1"/>
    <w:rsid w:val="00DB43A8"/>
    <w:rsid w:val="00DB489B"/>
    <w:rsid w:val="00DB4B30"/>
    <w:rsid w:val="00DB5343"/>
    <w:rsid w:val="00DB5371"/>
    <w:rsid w:val="00DB6250"/>
    <w:rsid w:val="00DB65B8"/>
    <w:rsid w:val="00DB6CF5"/>
    <w:rsid w:val="00DB6FB4"/>
    <w:rsid w:val="00DB700F"/>
    <w:rsid w:val="00DB7221"/>
    <w:rsid w:val="00DB72F4"/>
    <w:rsid w:val="00DB73FF"/>
    <w:rsid w:val="00DB7836"/>
    <w:rsid w:val="00DB78D6"/>
    <w:rsid w:val="00DB7FF6"/>
    <w:rsid w:val="00DC03B7"/>
    <w:rsid w:val="00DC0AA0"/>
    <w:rsid w:val="00DC13D4"/>
    <w:rsid w:val="00DC147A"/>
    <w:rsid w:val="00DC1563"/>
    <w:rsid w:val="00DC1852"/>
    <w:rsid w:val="00DC20AC"/>
    <w:rsid w:val="00DC2405"/>
    <w:rsid w:val="00DC2B04"/>
    <w:rsid w:val="00DC2C47"/>
    <w:rsid w:val="00DC2F43"/>
    <w:rsid w:val="00DC323D"/>
    <w:rsid w:val="00DC326F"/>
    <w:rsid w:val="00DC369C"/>
    <w:rsid w:val="00DC3949"/>
    <w:rsid w:val="00DC3EA0"/>
    <w:rsid w:val="00DC3F02"/>
    <w:rsid w:val="00DC40AD"/>
    <w:rsid w:val="00DC4DC2"/>
    <w:rsid w:val="00DC535D"/>
    <w:rsid w:val="00DC556E"/>
    <w:rsid w:val="00DC67C0"/>
    <w:rsid w:val="00DC6E65"/>
    <w:rsid w:val="00DC7543"/>
    <w:rsid w:val="00DC7B08"/>
    <w:rsid w:val="00DC7D60"/>
    <w:rsid w:val="00DD0629"/>
    <w:rsid w:val="00DD0955"/>
    <w:rsid w:val="00DD1947"/>
    <w:rsid w:val="00DD1992"/>
    <w:rsid w:val="00DD1B27"/>
    <w:rsid w:val="00DD2000"/>
    <w:rsid w:val="00DD2007"/>
    <w:rsid w:val="00DD2020"/>
    <w:rsid w:val="00DD24A3"/>
    <w:rsid w:val="00DD25FC"/>
    <w:rsid w:val="00DD2DB1"/>
    <w:rsid w:val="00DD2F0B"/>
    <w:rsid w:val="00DD3206"/>
    <w:rsid w:val="00DD4DB1"/>
    <w:rsid w:val="00DD51BC"/>
    <w:rsid w:val="00DD557A"/>
    <w:rsid w:val="00DD5A5E"/>
    <w:rsid w:val="00DD5AE9"/>
    <w:rsid w:val="00DD6959"/>
    <w:rsid w:val="00DD6B7D"/>
    <w:rsid w:val="00DD6F71"/>
    <w:rsid w:val="00DD734B"/>
    <w:rsid w:val="00DE0163"/>
    <w:rsid w:val="00DE0389"/>
    <w:rsid w:val="00DE08C7"/>
    <w:rsid w:val="00DE0DF3"/>
    <w:rsid w:val="00DE1222"/>
    <w:rsid w:val="00DE1A67"/>
    <w:rsid w:val="00DE267B"/>
    <w:rsid w:val="00DE2899"/>
    <w:rsid w:val="00DE2EDA"/>
    <w:rsid w:val="00DE3100"/>
    <w:rsid w:val="00DE3553"/>
    <w:rsid w:val="00DE373C"/>
    <w:rsid w:val="00DE394F"/>
    <w:rsid w:val="00DE3C92"/>
    <w:rsid w:val="00DE3D5F"/>
    <w:rsid w:val="00DE4301"/>
    <w:rsid w:val="00DE4CEB"/>
    <w:rsid w:val="00DE4EA7"/>
    <w:rsid w:val="00DE56E4"/>
    <w:rsid w:val="00DE591D"/>
    <w:rsid w:val="00DE624F"/>
    <w:rsid w:val="00DE6C19"/>
    <w:rsid w:val="00DE795A"/>
    <w:rsid w:val="00DE7C2C"/>
    <w:rsid w:val="00DF04B1"/>
    <w:rsid w:val="00DF05C8"/>
    <w:rsid w:val="00DF07C0"/>
    <w:rsid w:val="00DF0BE0"/>
    <w:rsid w:val="00DF0C1E"/>
    <w:rsid w:val="00DF0FA6"/>
    <w:rsid w:val="00DF1265"/>
    <w:rsid w:val="00DF12E6"/>
    <w:rsid w:val="00DF162D"/>
    <w:rsid w:val="00DF18B7"/>
    <w:rsid w:val="00DF19B5"/>
    <w:rsid w:val="00DF19EC"/>
    <w:rsid w:val="00DF1E4B"/>
    <w:rsid w:val="00DF1F61"/>
    <w:rsid w:val="00DF37A3"/>
    <w:rsid w:val="00DF3D81"/>
    <w:rsid w:val="00DF3DFA"/>
    <w:rsid w:val="00DF3F3D"/>
    <w:rsid w:val="00DF4731"/>
    <w:rsid w:val="00DF4882"/>
    <w:rsid w:val="00DF4B9C"/>
    <w:rsid w:val="00DF4BBD"/>
    <w:rsid w:val="00DF4BC2"/>
    <w:rsid w:val="00DF4C35"/>
    <w:rsid w:val="00DF51E2"/>
    <w:rsid w:val="00DF5384"/>
    <w:rsid w:val="00DF57C5"/>
    <w:rsid w:val="00DF59C6"/>
    <w:rsid w:val="00DF5CD8"/>
    <w:rsid w:val="00DF6045"/>
    <w:rsid w:val="00DF64F6"/>
    <w:rsid w:val="00DF6A8F"/>
    <w:rsid w:val="00DF6D07"/>
    <w:rsid w:val="00DF6EAE"/>
    <w:rsid w:val="00DF711B"/>
    <w:rsid w:val="00DF715D"/>
    <w:rsid w:val="00DF753D"/>
    <w:rsid w:val="00DF784E"/>
    <w:rsid w:val="00DF7957"/>
    <w:rsid w:val="00DF7D65"/>
    <w:rsid w:val="00E001AF"/>
    <w:rsid w:val="00E0022D"/>
    <w:rsid w:val="00E00D62"/>
    <w:rsid w:val="00E011EA"/>
    <w:rsid w:val="00E0158F"/>
    <w:rsid w:val="00E01C94"/>
    <w:rsid w:val="00E01CA7"/>
    <w:rsid w:val="00E01D4D"/>
    <w:rsid w:val="00E021B6"/>
    <w:rsid w:val="00E0236A"/>
    <w:rsid w:val="00E02376"/>
    <w:rsid w:val="00E027B5"/>
    <w:rsid w:val="00E028C2"/>
    <w:rsid w:val="00E02CE9"/>
    <w:rsid w:val="00E02DD2"/>
    <w:rsid w:val="00E032B9"/>
    <w:rsid w:val="00E03313"/>
    <w:rsid w:val="00E03466"/>
    <w:rsid w:val="00E03D47"/>
    <w:rsid w:val="00E03EDC"/>
    <w:rsid w:val="00E049C4"/>
    <w:rsid w:val="00E05318"/>
    <w:rsid w:val="00E0546E"/>
    <w:rsid w:val="00E05479"/>
    <w:rsid w:val="00E05A95"/>
    <w:rsid w:val="00E05EAB"/>
    <w:rsid w:val="00E072E9"/>
    <w:rsid w:val="00E107B8"/>
    <w:rsid w:val="00E10872"/>
    <w:rsid w:val="00E1191B"/>
    <w:rsid w:val="00E11BE9"/>
    <w:rsid w:val="00E124A1"/>
    <w:rsid w:val="00E1262A"/>
    <w:rsid w:val="00E133CC"/>
    <w:rsid w:val="00E13BC0"/>
    <w:rsid w:val="00E13CEC"/>
    <w:rsid w:val="00E149F9"/>
    <w:rsid w:val="00E14A8E"/>
    <w:rsid w:val="00E14C5B"/>
    <w:rsid w:val="00E14FF0"/>
    <w:rsid w:val="00E150DE"/>
    <w:rsid w:val="00E15F4A"/>
    <w:rsid w:val="00E160E0"/>
    <w:rsid w:val="00E1638C"/>
    <w:rsid w:val="00E16390"/>
    <w:rsid w:val="00E165BB"/>
    <w:rsid w:val="00E165DF"/>
    <w:rsid w:val="00E16A5D"/>
    <w:rsid w:val="00E16BA1"/>
    <w:rsid w:val="00E16E04"/>
    <w:rsid w:val="00E16F9D"/>
    <w:rsid w:val="00E17323"/>
    <w:rsid w:val="00E1785A"/>
    <w:rsid w:val="00E20610"/>
    <w:rsid w:val="00E20CCE"/>
    <w:rsid w:val="00E20EEE"/>
    <w:rsid w:val="00E20F94"/>
    <w:rsid w:val="00E21C8E"/>
    <w:rsid w:val="00E21D6F"/>
    <w:rsid w:val="00E224F1"/>
    <w:rsid w:val="00E22779"/>
    <w:rsid w:val="00E2293A"/>
    <w:rsid w:val="00E22A26"/>
    <w:rsid w:val="00E22CBB"/>
    <w:rsid w:val="00E233A0"/>
    <w:rsid w:val="00E23916"/>
    <w:rsid w:val="00E23E5F"/>
    <w:rsid w:val="00E24D97"/>
    <w:rsid w:val="00E25041"/>
    <w:rsid w:val="00E25499"/>
    <w:rsid w:val="00E25819"/>
    <w:rsid w:val="00E25AB0"/>
    <w:rsid w:val="00E25BD0"/>
    <w:rsid w:val="00E2654C"/>
    <w:rsid w:val="00E26567"/>
    <w:rsid w:val="00E267E9"/>
    <w:rsid w:val="00E268FA"/>
    <w:rsid w:val="00E26F1D"/>
    <w:rsid w:val="00E26FB7"/>
    <w:rsid w:val="00E2750A"/>
    <w:rsid w:val="00E27A72"/>
    <w:rsid w:val="00E27E7E"/>
    <w:rsid w:val="00E27F4B"/>
    <w:rsid w:val="00E301F0"/>
    <w:rsid w:val="00E30242"/>
    <w:rsid w:val="00E30591"/>
    <w:rsid w:val="00E306B0"/>
    <w:rsid w:val="00E30B9E"/>
    <w:rsid w:val="00E30C38"/>
    <w:rsid w:val="00E313F8"/>
    <w:rsid w:val="00E315AC"/>
    <w:rsid w:val="00E31C5A"/>
    <w:rsid w:val="00E31FF9"/>
    <w:rsid w:val="00E32661"/>
    <w:rsid w:val="00E3295B"/>
    <w:rsid w:val="00E32EA1"/>
    <w:rsid w:val="00E33216"/>
    <w:rsid w:val="00E33591"/>
    <w:rsid w:val="00E33932"/>
    <w:rsid w:val="00E33B05"/>
    <w:rsid w:val="00E33D6A"/>
    <w:rsid w:val="00E3432C"/>
    <w:rsid w:val="00E34731"/>
    <w:rsid w:val="00E347CF"/>
    <w:rsid w:val="00E3507B"/>
    <w:rsid w:val="00E353C7"/>
    <w:rsid w:val="00E35485"/>
    <w:rsid w:val="00E355F1"/>
    <w:rsid w:val="00E3579A"/>
    <w:rsid w:val="00E3587A"/>
    <w:rsid w:val="00E35B64"/>
    <w:rsid w:val="00E35DBB"/>
    <w:rsid w:val="00E35F54"/>
    <w:rsid w:val="00E36648"/>
    <w:rsid w:val="00E368BC"/>
    <w:rsid w:val="00E370FC"/>
    <w:rsid w:val="00E37C4D"/>
    <w:rsid w:val="00E40848"/>
    <w:rsid w:val="00E41957"/>
    <w:rsid w:val="00E41A2F"/>
    <w:rsid w:val="00E41E38"/>
    <w:rsid w:val="00E420B7"/>
    <w:rsid w:val="00E4240B"/>
    <w:rsid w:val="00E427E1"/>
    <w:rsid w:val="00E4371F"/>
    <w:rsid w:val="00E4449C"/>
    <w:rsid w:val="00E45019"/>
    <w:rsid w:val="00E4501E"/>
    <w:rsid w:val="00E452A8"/>
    <w:rsid w:val="00E4559E"/>
    <w:rsid w:val="00E457C7"/>
    <w:rsid w:val="00E458CA"/>
    <w:rsid w:val="00E45990"/>
    <w:rsid w:val="00E45F4E"/>
    <w:rsid w:val="00E46C9C"/>
    <w:rsid w:val="00E47528"/>
    <w:rsid w:val="00E47EA0"/>
    <w:rsid w:val="00E50AF6"/>
    <w:rsid w:val="00E50C22"/>
    <w:rsid w:val="00E50E02"/>
    <w:rsid w:val="00E50E7A"/>
    <w:rsid w:val="00E517C4"/>
    <w:rsid w:val="00E51DC2"/>
    <w:rsid w:val="00E52061"/>
    <w:rsid w:val="00E52443"/>
    <w:rsid w:val="00E5262F"/>
    <w:rsid w:val="00E526B0"/>
    <w:rsid w:val="00E52BF0"/>
    <w:rsid w:val="00E52D5C"/>
    <w:rsid w:val="00E5304E"/>
    <w:rsid w:val="00E53314"/>
    <w:rsid w:val="00E533BD"/>
    <w:rsid w:val="00E53550"/>
    <w:rsid w:val="00E53DE2"/>
    <w:rsid w:val="00E54C57"/>
    <w:rsid w:val="00E54DA6"/>
    <w:rsid w:val="00E55038"/>
    <w:rsid w:val="00E5576A"/>
    <w:rsid w:val="00E557C6"/>
    <w:rsid w:val="00E5596A"/>
    <w:rsid w:val="00E55AA6"/>
    <w:rsid w:val="00E56449"/>
    <w:rsid w:val="00E56835"/>
    <w:rsid w:val="00E5686E"/>
    <w:rsid w:val="00E568FE"/>
    <w:rsid w:val="00E569BF"/>
    <w:rsid w:val="00E56E18"/>
    <w:rsid w:val="00E57445"/>
    <w:rsid w:val="00E5777B"/>
    <w:rsid w:val="00E57A72"/>
    <w:rsid w:val="00E57E22"/>
    <w:rsid w:val="00E601F7"/>
    <w:rsid w:val="00E606D5"/>
    <w:rsid w:val="00E60916"/>
    <w:rsid w:val="00E60941"/>
    <w:rsid w:val="00E60AC7"/>
    <w:rsid w:val="00E60B10"/>
    <w:rsid w:val="00E60F05"/>
    <w:rsid w:val="00E610D2"/>
    <w:rsid w:val="00E6128D"/>
    <w:rsid w:val="00E61348"/>
    <w:rsid w:val="00E61674"/>
    <w:rsid w:val="00E62A58"/>
    <w:rsid w:val="00E62BFD"/>
    <w:rsid w:val="00E62EEE"/>
    <w:rsid w:val="00E63717"/>
    <w:rsid w:val="00E638D2"/>
    <w:rsid w:val="00E63F3C"/>
    <w:rsid w:val="00E64624"/>
    <w:rsid w:val="00E64854"/>
    <w:rsid w:val="00E648E2"/>
    <w:rsid w:val="00E64B67"/>
    <w:rsid w:val="00E64D36"/>
    <w:rsid w:val="00E654E8"/>
    <w:rsid w:val="00E65901"/>
    <w:rsid w:val="00E65EC4"/>
    <w:rsid w:val="00E668F9"/>
    <w:rsid w:val="00E669C4"/>
    <w:rsid w:val="00E66D5F"/>
    <w:rsid w:val="00E67A94"/>
    <w:rsid w:val="00E70236"/>
    <w:rsid w:val="00E71143"/>
    <w:rsid w:val="00E71991"/>
    <w:rsid w:val="00E71F44"/>
    <w:rsid w:val="00E71FD7"/>
    <w:rsid w:val="00E7278B"/>
    <w:rsid w:val="00E72841"/>
    <w:rsid w:val="00E73054"/>
    <w:rsid w:val="00E74873"/>
    <w:rsid w:val="00E74955"/>
    <w:rsid w:val="00E749C3"/>
    <w:rsid w:val="00E74AF8"/>
    <w:rsid w:val="00E75009"/>
    <w:rsid w:val="00E756BB"/>
    <w:rsid w:val="00E763B6"/>
    <w:rsid w:val="00E76BB6"/>
    <w:rsid w:val="00E76FE9"/>
    <w:rsid w:val="00E77325"/>
    <w:rsid w:val="00E77CEE"/>
    <w:rsid w:val="00E77E5B"/>
    <w:rsid w:val="00E8038B"/>
    <w:rsid w:val="00E80A30"/>
    <w:rsid w:val="00E80CD6"/>
    <w:rsid w:val="00E80E42"/>
    <w:rsid w:val="00E81B78"/>
    <w:rsid w:val="00E81F06"/>
    <w:rsid w:val="00E822EE"/>
    <w:rsid w:val="00E82BAB"/>
    <w:rsid w:val="00E82EB8"/>
    <w:rsid w:val="00E8323A"/>
    <w:rsid w:val="00E83503"/>
    <w:rsid w:val="00E835CB"/>
    <w:rsid w:val="00E840DC"/>
    <w:rsid w:val="00E841AD"/>
    <w:rsid w:val="00E84C5F"/>
    <w:rsid w:val="00E84DA5"/>
    <w:rsid w:val="00E858B1"/>
    <w:rsid w:val="00E85A3D"/>
    <w:rsid w:val="00E85CA8"/>
    <w:rsid w:val="00E85CD3"/>
    <w:rsid w:val="00E85EDE"/>
    <w:rsid w:val="00E860DF"/>
    <w:rsid w:val="00E86656"/>
    <w:rsid w:val="00E86C4B"/>
    <w:rsid w:val="00E86CE0"/>
    <w:rsid w:val="00E8710B"/>
    <w:rsid w:val="00E8741C"/>
    <w:rsid w:val="00E87813"/>
    <w:rsid w:val="00E87C59"/>
    <w:rsid w:val="00E87D9D"/>
    <w:rsid w:val="00E87E10"/>
    <w:rsid w:val="00E90067"/>
    <w:rsid w:val="00E90D7C"/>
    <w:rsid w:val="00E910CA"/>
    <w:rsid w:val="00E91B14"/>
    <w:rsid w:val="00E91C24"/>
    <w:rsid w:val="00E92479"/>
    <w:rsid w:val="00E926BA"/>
    <w:rsid w:val="00E92A62"/>
    <w:rsid w:val="00E92AFB"/>
    <w:rsid w:val="00E92D8E"/>
    <w:rsid w:val="00E9349E"/>
    <w:rsid w:val="00E938E1"/>
    <w:rsid w:val="00E93995"/>
    <w:rsid w:val="00E93C5A"/>
    <w:rsid w:val="00E942DE"/>
    <w:rsid w:val="00E9438A"/>
    <w:rsid w:val="00E94B7B"/>
    <w:rsid w:val="00E94DE7"/>
    <w:rsid w:val="00E94E86"/>
    <w:rsid w:val="00E94EBD"/>
    <w:rsid w:val="00E95338"/>
    <w:rsid w:val="00E95813"/>
    <w:rsid w:val="00E95843"/>
    <w:rsid w:val="00E958CF"/>
    <w:rsid w:val="00E95E50"/>
    <w:rsid w:val="00E95E7C"/>
    <w:rsid w:val="00E96217"/>
    <w:rsid w:val="00E96246"/>
    <w:rsid w:val="00E9639C"/>
    <w:rsid w:val="00E963B1"/>
    <w:rsid w:val="00E9641E"/>
    <w:rsid w:val="00E96566"/>
    <w:rsid w:val="00E96A82"/>
    <w:rsid w:val="00E975D1"/>
    <w:rsid w:val="00EA042D"/>
    <w:rsid w:val="00EA0B0A"/>
    <w:rsid w:val="00EA0B70"/>
    <w:rsid w:val="00EA0F61"/>
    <w:rsid w:val="00EA1786"/>
    <w:rsid w:val="00EA18B0"/>
    <w:rsid w:val="00EA19F0"/>
    <w:rsid w:val="00EA1AA5"/>
    <w:rsid w:val="00EA219B"/>
    <w:rsid w:val="00EA2408"/>
    <w:rsid w:val="00EA2436"/>
    <w:rsid w:val="00EA2E4D"/>
    <w:rsid w:val="00EA2F65"/>
    <w:rsid w:val="00EA3D44"/>
    <w:rsid w:val="00EA3F20"/>
    <w:rsid w:val="00EA4A00"/>
    <w:rsid w:val="00EA4A19"/>
    <w:rsid w:val="00EA5570"/>
    <w:rsid w:val="00EA5CD2"/>
    <w:rsid w:val="00EA5DBF"/>
    <w:rsid w:val="00EA668C"/>
    <w:rsid w:val="00EA66D3"/>
    <w:rsid w:val="00EA67F9"/>
    <w:rsid w:val="00EA6B7B"/>
    <w:rsid w:val="00EA70C3"/>
    <w:rsid w:val="00EA7127"/>
    <w:rsid w:val="00EA737D"/>
    <w:rsid w:val="00EA75F4"/>
    <w:rsid w:val="00EA7E9F"/>
    <w:rsid w:val="00EB0290"/>
    <w:rsid w:val="00EB12D1"/>
    <w:rsid w:val="00EB1772"/>
    <w:rsid w:val="00EB1931"/>
    <w:rsid w:val="00EB29D6"/>
    <w:rsid w:val="00EB39B7"/>
    <w:rsid w:val="00EB3EB6"/>
    <w:rsid w:val="00EB3FD9"/>
    <w:rsid w:val="00EB4124"/>
    <w:rsid w:val="00EB4191"/>
    <w:rsid w:val="00EB498F"/>
    <w:rsid w:val="00EB4D2A"/>
    <w:rsid w:val="00EB4DAE"/>
    <w:rsid w:val="00EB5031"/>
    <w:rsid w:val="00EB5DB9"/>
    <w:rsid w:val="00EB6552"/>
    <w:rsid w:val="00EB6DAB"/>
    <w:rsid w:val="00EB6FDA"/>
    <w:rsid w:val="00EB742A"/>
    <w:rsid w:val="00EB743C"/>
    <w:rsid w:val="00EB7736"/>
    <w:rsid w:val="00EB7786"/>
    <w:rsid w:val="00EB7C45"/>
    <w:rsid w:val="00EB7DEA"/>
    <w:rsid w:val="00EC07C9"/>
    <w:rsid w:val="00EC0E99"/>
    <w:rsid w:val="00EC10CC"/>
    <w:rsid w:val="00EC11DA"/>
    <w:rsid w:val="00EC1349"/>
    <w:rsid w:val="00EC1397"/>
    <w:rsid w:val="00EC1905"/>
    <w:rsid w:val="00EC1E21"/>
    <w:rsid w:val="00EC2399"/>
    <w:rsid w:val="00EC2B81"/>
    <w:rsid w:val="00EC31C8"/>
    <w:rsid w:val="00EC3444"/>
    <w:rsid w:val="00EC35B9"/>
    <w:rsid w:val="00EC35C0"/>
    <w:rsid w:val="00EC3EBC"/>
    <w:rsid w:val="00EC3EDD"/>
    <w:rsid w:val="00EC4599"/>
    <w:rsid w:val="00EC46D4"/>
    <w:rsid w:val="00EC476C"/>
    <w:rsid w:val="00EC4A60"/>
    <w:rsid w:val="00EC4CF6"/>
    <w:rsid w:val="00EC519A"/>
    <w:rsid w:val="00EC557E"/>
    <w:rsid w:val="00EC5A66"/>
    <w:rsid w:val="00EC6C5D"/>
    <w:rsid w:val="00EC6C86"/>
    <w:rsid w:val="00EC6D03"/>
    <w:rsid w:val="00EC70F3"/>
    <w:rsid w:val="00EC7600"/>
    <w:rsid w:val="00EC7669"/>
    <w:rsid w:val="00EC76AC"/>
    <w:rsid w:val="00EC77EA"/>
    <w:rsid w:val="00ED0327"/>
    <w:rsid w:val="00ED0A64"/>
    <w:rsid w:val="00ED0D14"/>
    <w:rsid w:val="00ED0EBA"/>
    <w:rsid w:val="00ED1423"/>
    <w:rsid w:val="00ED198C"/>
    <w:rsid w:val="00ED227E"/>
    <w:rsid w:val="00ED3920"/>
    <w:rsid w:val="00ED42A9"/>
    <w:rsid w:val="00ED4703"/>
    <w:rsid w:val="00ED4B3F"/>
    <w:rsid w:val="00ED517C"/>
    <w:rsid w:val="00ED5317"/>
    <w:rsid w:val="00ED5BAF"/>
    <w:rsid w:val="00ED5C50"/>
    <w:rsid w:val="00ED6246"/>
    <w:rsid w:val="00ED6C3E"/>
    <w:rsid w:val="00ED74F5"/>
    <w:rsid w:val="00ED75ED"/>
    <w:rsid w:val="00ED768C"/>
    <w:rsid w:val="00ED7AFC"/>
    <w:rsid w:val="00ED7C4C"/>
    <w:rsid w:val="00ED7D4E"/>
    <w:rsid w:val="00ED7FD4"/>
    <w:rsid w:val="00EE074D"/>
    <w:rsid w:val="00EE0A5D"/>
    <w:rsid w:val="00EE0CCE"/>
    <w:rsid w:val="00EE10B0"/>
    <w:rsid w:val="00EE136D"/>
    <w:rsid w:val="00EE1751"/>
    <w:rsid w:val="00EE2075"/>
    <w:rsid w:val="00EE22F5"/>
    <w:rsid w:val="00EE235A"/>
    <w:rsid w:val="00EE2A4E"/>
    <w:rsid w:val="00EE31B2"/>
    <w:rsid w:val="00EE31DA"/>
    <w:rsid w:val="00EE3525"/>
    <w:rsid w:val="00EE361E"/>
    <w:rsid w:val="00EE389F"/>
    <w:rsid w:val="00EE4135"/>
    <w:rsid w:val="00EE4690"/>
    <w:rsid w:val="00EE5458"/>
    <w:rsid w:val="00EE5723"/>
    <w:rsid w:val="00EE58E1"/>
    <w:rsid w:val="00EE5F6D"/>
    <w:rsid w:val="00EE6AB8"/>
    <w:rsid w:val="00EE6ED3"/>
    <w:rsid w:val="00EE7838"/>
    <w:rsid w:val="00EE78F2"/>
    <w:rsid w:val="00EF0469"/>
    <w:rsid w:val="00EF0F14"/>
    <w:rsid w:val="00EF1434"/>
    <w:rsid w:val="00EF1679"/>
    <w:rsid w:val="00EF1703"/>
    <w:rsid w:val="00EF18BA"/>
    <w:rsid w:val="00EF28AF"/>
    <w:rsid w:val="00EF2A22"/>
    <w:rsid w:val="00EF2D08"/>
    <w:rsid w:val="00EF2E5A"/>
    <w:rsid w:val="00EF3132"/>
    <w:rsid w:val="00EF3AA1"/>
    <w:rsid w:val="00EF4685"/>
    <w:rsid w:val="00EF49F4"/>
    <w:rsid w:val="00EF4FE5"/>
    <w:rsid w:val="00EF522C"/>
    <w:rsid w:val="00EF5CCC"/>
    <w:rsid w:val="00EF5D77"/>
    <w:rsid w:val="00EF6505"/>
    <w:rsid w:val="00EF6AEF"/>
    <w:rsid w:val="00EF6B89"/>
    <w:rsid w:val="00EF6BB5"/>
    <w:rsid w:val="00EF6D44"/>
    <w:rsid w:val="00EF7851"/>
    <w:rsid w:val="00EF7AFA"/>
    <w:rsid w:val="00EF7DA5"/>
    <w:rsid w:val="00EF7E57"/>
    <w:rsid w:val="00F0086B"/>
    <w:rsid w:val="00F00F31"/>
    <w:rsid w:val="00F01993"/>
    <w:rsid w:val="00F01F7C"/>
    <w:rsid w:val="00F02657"/>
    <w:rsid w:val="00F032E7"/>
    <w:rsid w:val="00F033B2"/>
    <w:rsid w:val="00F03473"/>
    <w:rsid w:val="00F03779"/>
    <w:rsid w:val="00F039C9"/>
    <w:rsid w:val="00F03DCE"/>
    <w:rsid w:val="00F03F31"/>
    <w:rsid w:val="00F044EC"/>
    <w:rsid w:val="00F04522"/>
    <w:rsid w:val="00F046EF"/>
    <w:rsid w:val="00F04A62"/>
    <w:rsid w:val="00F05428"/>
    <w:rsid w:val="00F056C3"/>
    <w:rsid w:val="00F058F4"/>
    <w:rsid w:val="00F05B2A"/>
    <w:rsid w:val="00F05F2E"/>
    <w:rsid w:val="00F05FCC"/>
    <w:rsid w:val="00F0617B"/>
    <w:rsid w:val="00F0644F"/>
    <w:rsid w:val="00F06571"/>
    <w:rsid w:val="00F0679C"/>
    <w:rsid w:val="00F0721C"/>
    <w:rsid w:val="00F07394"/>
    <w:rsid w:val="00F076D9"/>
    <w:rsid w:val="00F076E7"/>
    <w:rsid w:val="00F079E1"/>
    <w:rsid w:val="00F07B70"/>
    <w:rsid w:val="00F101A3"/>
    <w:rsid w:val="00F1045F"/>
    <w:rsid w:val="00F10670"/>
    <w:rsid w:val="00F10789"/>
    <w:rsid w:val="00F109E0"/>
    <w:rsid w:val="00F118DC"/>
    <w:rsid w:val="00F11A75"/>
    <w:rsid w:val="00F1261F"/>
    <w:rsid w:val="00F12BD5"/>
    <w:rsid w:val="00F12FB1"/>
    <w:rsid w:val="00F13404"/>
    <w:rsid w:val="00F13418"/>
    <w:rsid w:val="00F134FA"/>
    <w:rsid w:val="00F14164"/>
    <w:rsid w:val="00F149A6"/>
    <w:rsid w:val="00F14AC4"/>
    <w:rsid w:val="00F14D4F"/>
    <w:rsid w:val="00F14FE1"/>
    <w:rsid w:val="00F1512D"/>
    <w:rsid w:val="00F153DD"/>
    <w:rsid w:val="00F1586A"/>
    <w:rsid w:val="00F15974"/>
    <w:rsid w:val="00F15A7D"/>
    <w:rsid w:val="00F15AA8"/>
    <w:rsid w:val="00F162BF"/>
    <w:rsid w:val="00F1632F"/>
    <w:rsid w:val="00F16482"/>
    <w:rsid w:val="00F168C0"/>
    <w:rsid w:val="00F174D0"/>
    <w:rsid w:val="00F17615"/>
    <w:rsid w:val="00F17880"/>
    <w:rsid w:val="00F17A4C"/>
    <w:rsid w:val="00F2087A"/>
    <w:rsid w:val="00F20A82"/>
    <w:rsid w:val="00F20AFB"/>
    <w:rsid w:val="00F21543"/>
    <w:rsid w:val="00F21AE0"/>
    <w:rsid w:val="00F222EE"/>
    <w:rsid w:val="00F22485"/>
    <w:rsid w:val="00F229ED"/>
    <w:rsid w:val="00F22A54"/>
    <w:rsid w:val="00F23DB3"/>
    <w:rsid w:val="00F244B0"/>
    <w:rsid w:val="00F245F3"/>
    <w:rsid w:val="00F24A52"/>
    <w:rsid w:val="00F24B7E"/>
    <w:rsid w:val="00F24EA7"/>
    <w:rsid w:val="00F25CCA"/>
    <w:rsid w:val="00F26019"/>
    <w:rsid w:val="00F265DB"/>
    <w:rsid w:val="00F26651"/>
    <w:rsid w:val="00F279F4"/>
    <w:rsid w:val="00F27B59"/>
    <w:rsid w:val="00F30338"/>
    <w:rsid w:val="00F30A7D"/>
    <w:rsid w:val="00F30AB3"/>
    <w:rsid w:val="00F30E1D"/>
    <w:rsid w:val="00F30E20"/>
    <w:rsid w:val="00F31666"/>
    <w:rsid w:val="00F31B3C"/>
    <w:rsid w:val="00F31B41"/>
    <w:rsid w:val="00F31BCA"/>
    <w:rsid w:val="00F32033"/>
    <w:rsid w:val="00F32BE8"/>
    <w:rsid w:val="00F3394E"/>
    <w:rsid w:val="00F34065"/>
    <w:rsid w:val="00F34361"/>
    <w:rsid w:val="00F34510"/>
    <w:rsid w:val="00F3472A"/>
    <w:rsid w:val="00F34A1B"/>
    <w:rsid w:val="00F3513E"/>
    <w:rsid w:val="00F35207"/>
    <w:rsid w:val="00F35342"/>
    <w:rsid w:val="00F353F0"/>
    <w:rsid w:val="00F354ED"/>
    <w:rsid w:val="00F35BBF"/>
    <w:rsid w:val="00F361DC"/>
    <w:rsid w:val="00F36220"/>
    <w:rsid w:val="00F36A1F"/>
    <w:rsid w:val="00F36C51"/>
    <w:rsid w:val="00F372B3"/>
    <w:rsid w:val="00F3771E"/>
    <w:rsid w:val="00F37915"/>
    <w:rsid w:val="00F37B5F"/>
    <w:rsid w:val="00F4032E"/>
    <w:rsid w:val="00F40A2B"/>
    <w:rsid w:val="00F40D23"/>
    <w:rsid w:val="00F40DBA"/>
    <w:rsid w:val="00F41705"/>
    <w:rsid w:val="00F41C51"/>
    <w:rsid w:val="00F41E84"/>
    <w:rsid w:val="00F42E6D"/>
    <w:rsid w:val="00F43468"/>
    <w:rsid w:val="00F4373D"/>
    <w:rsid w:val="00F445AA"/>
    <w:rsid w:val="00F448F5"/>
    <w:rsid w:val="00F44DDE"/>
    <w:rsid w:val="00F452A3"/>
    <w:rsid w:val="00F45343"/>
    <w:rsid w:val="00F456ED"/>
    <w:rsid w:val="00F458CA"/>
    <w:rsid w:val="00F46106"/>
    <w:rsid w:val="00F46850"/>
    <w:rsid w:val="00F46A80"/>
    <w:rsid w:val="00F46ACA"/>
    <w:rsid w:val="00F46AED"/>
    <w:rsid w:val="00F470D9"/>
    <w:rsid w:val="00F47A46"/>
    <w:rsid w:val="00F47C01"/>
    <w:rsid w:val="00F47F07"/>
    <w:rsid w:val="00F501D5"/>
    <w:rsid w:val="00F5029A"/>
    <w:rsid w:val="00F50C1B"/>
    <w:rsid w:val="00F50F54"/>
    <w:rsid w:val="00F50FBC"/>
    <w:rsid w:val="00F516DC"/>
    <w:rsid w:val="00F517C6"/>
    <w:rsid w:val="00F519FB"/>
    <w:rsid w:val="00F51C2E"/>
    <w:rsid w:val="00F5241C"/>
    <w:rsid w:val="00F5266B"/>
    <w:rsid w:val="00F52707"/>
    <w:rsid w:val="00F52A72"/>
    <w:rsid w:val="00F52ADD"/>
    <w:rsid w:val="00F52C15"/>
    <w:rsid w:val="00F52F78"/>
    <w:rsid w:val="00F52FB4"/>
    <w:rsid w:val="00F53124"/>
    <w:rsid w:val="00F53410"/>
    <w:rsid w:val="00F5363D"/>
    <w:rsid w:val="00F5423B"/>
    <w:rsid w:val="00F54ACD"/>
    <w:rsid w:val="00F54C42"/>
    <w:rsid w:val="00F54E67"/>
    <w:rsid w:val="00F54FCB"/>
    <w:rsid w:val="00F55A44"/>
    <w:rsid w:val="00F55BDF"/>
    <w:rsid w:val="00F55CE5"/>
    <w:rsid w:val="00F56355"/>
    <w:rsid w:val="00F563BF"/>
    <w:rsid w:val="00F56B14"/>
    <w:rsid w:val="00F56BDA"/>
    <w:rsid w:val="00F5731F"/>
    <w:rsid w:val="00F57D89"/>
    <w:rsid w:val="00F57FF9"/>
    <w:rsid w:val="00F6057E"/>
    <w:rsid w:val="00F61431"/>
    <w:rsid w:val="00F61C5E"/>
    <w:rsid w:val="00F61D66"/>
    <w:rsid w:val="00F63670"/>
    <w:rsid w:val="00F63B08"/>
    <w:rsid w:val="00F63DF5"/>
    <w:rsid w:val="00F6433C"/>
    <w:rsid w:val="00F643E2"/>
    <w:rsid w:val="00F64E86"/>
    <w:rsid w:val="00F653BA"/>
    <w:rsid w:val="00F65B69"/>
    <w:rsid w:val="00F65E5C"/>
    <w:rsid w:val="00F66192"/>
    <w:rsid w:val="00F66426"/>
    <w:rsid w:val="00F667B3"/>
    <w:rsid w:val="00F668FE"/>
    <w:rsid w:val="00F66B84"/>
    <w:rsid w:val="00F66D4C"/>
    <w:rsid w:val="00F67262"/>
    <w:rsid w:val="00F673F9"/>
    <w:rsid w:val="00F677FF"/>
    <w:rsid w:val="00F67D42"/>
    <w:rsid w:val="00F70819"/>
    <w:rsid w:val="00F70911"/>
    <w:rsid w:val="00F70F2D"/>
    <w:rsid w:val="00F70F59"/>
    <w:rsid w:val="00F71121"/>
    <w:rsid w:val="00F71390"/>
    <w:rsid w:val="00F71579"/>
    <w:rsid w:val="00F71753"/>
    <w:rsid w:val="00F721AB"/>
    <w:rsid w:val="00F72515"/>
    <w:rsid w:val="00F736CE"/>
    <w:rsid w:val="00F739CE"/>
    <w:rsid w:val="00F73A2E"/>
    <w:rsid w:val="00F73D60"/>
    <w:rsid w:val="00F74402"/>
    <w:rsid w:val="00F748C5"/>
    <w:rsid w:val="00F74B42"/>
    <w:rsid w:val="00F75239"/>
    <w:rsid w:val="00F752BA"/>
    <w:rsid w:val="00F75595"/>
    <w:rsid w:val="00F75679"/>
    <w:rsid w:val="00F760C1"/>
    <w:rsid w:val="00F76693"/>
    <w:rsid w:val="00F770E5"/>
    <w:rsid w:val="00F771CD"/>
    <w:rsid w:val="00F77236"/>
    <w:rsid w:val="00F7781C"/>
    <w:rsid w:val="00F77DC1"/>
    <w:rsid w:val="00F77E6E"/>
    <w:rsid w:val="00F77EC2"/>
    <w:rsid w:val="00F805F0"/>
    <w:rsid w:val="00F806B5"/>
    <w:rsid w:val="00F80998"/>
    <w:rsid w:val="00F809B6"/>
    <w:rsid w:val="00F81257"/>
    <w:rsid w:val="00F8156A"/>
    <w:rsid w:val="00F816DB"/>
    <w:rsid w:val="00F81A5A"/>
    <w:rsid w:val="00F81EFA"/>
    <w:rsid w:val="00F8217D"/>
    <w:rsid w:val="00F825C6"/>
    <w:rsid w:val="00F8261F"/>
    <w:rsid w:val="00F82DD1"/>
    <w:rsid w:val="00F8451E"/>
    <w:rsid w:val="00F848DB"/>
    <w:rsid w:val="00F84EAD"/>
    <w:rsid w:val="00F84F1F"/>
    <w:rsid w:val="00F85DC1"/>
    <w:rsid w:val="00F8636D"/>
    <w:rsid w:val="00F86F03"/>
    <w:rsid w:val="00F87478"/>
    <w:rsid w:val="00F87FDC"/>
    <w:rsid w:val="00F90302"/>
    <w:rsid w:val="00F90384"/>
    <w:rsid w:val="00F904AA"/>
    <w:rsid w:val="00F9124B"/>
    <w:rsid w:val="00F9136A"/>
    <w:rsid w:val="00F91371"/>
    <w:rsid w:val="00F91CA1"/>
    <w:rsid w:val="00F91F46"/>
    <w:rsid w:val="00F92730"/>
    <w:rsid w:val="00F9295C"/>
    <w:rsid w:val="00F92C3D"/>
    <w:rsid w:val="00F92F93"/>
    <w:rsid w:val="00F93280"/>
    <w:rsid w:val="00F93411"/>
    <w:rsid w:val="00F93BDB"/>
    <w:rsid w:val="00F93CD2"/>
    <w:rsid w:val="00F93D55"/>
    <w:rsid w:val="00F94152"/>
    <w:rsid w:val="00F946E1"/>
    <w:rsid w:val="00F94A1D"/>
    <w:rsid w:val="00F94DF0"/>
    <w:rsid w:val="00F95492"/>
    <w:rsid w:val="00F954FE"/>
    <w:rsid w:val="00F95701"/>
    <w:rsid w:val="00F95A2F"/>
    <w:rsid w:val="00F95C7E"/>
    <w:rsid w:val="00F95CC1"/>
    <w:rsid w:val="00F95F5C"/>
    <w:rsid w:val="00F95F97"/>
    <w:rsid w:val="00F960C0"/>
    <w:rsid w:val="00F96144"/>
    <w:rsid w:val="00F96278"/>
    <w:rsid w:val="00F96502"/>
    <w:rsid w:val="00F968F7"/>
    <w:rsid w:val="00F969D4"/>
    <w:rsid w:val="00F96D74"/>
    <w:rsid w:val="00F96DB8"/>
    <w:rsid w:val="00F9745D"/>
    <w:rsid w:val="00F97597"/>
    <w:rsid w:val="00F978A2"/>
    <w:rsid w:val="00F97A44"/>
    <w:rsid w:val="00FA013C"/>
    <w:rsid w:val="00FA0293"/>
    <w:rsid w:val="00FA041F"/>
    <w:rsid w:val="00FA076E"/>
    <w:rsid w:val="00FA113E"/>
    <w:rsid w:val="00FA1867"/>
    <w:rsid w:val="00FA1A05"/>
    <w:rsid w:val="00FA1FBC"/>
    <w:rsid w:val="00FA2C41"/>
    <w:rsid w:val="00FA2FB7"/>
    <w:rsid w:val="00FA31B2"/>
    <w:rsid w:val="00FA362C"/>
    <w:rsid w:val="00FA3796"/>
    <w:rsid w:val="00FA43E6"/>
    <w:rsid w:val="00FA46E3"/>
    <w:rsid w:val="00FA4D76"/>
    <w:rsid w:val="00FA52A9"/>
    <w:rsid w:val="00FA5A53"/>
    <w:rsid w:val="00FA5D59"/>
    <w:rsid w:val="00FA69BA"/>
    <w:rsid w:val="00FA6E09"/>
    <w:rsid w:val="00FA700E"/>
    <w:rsid w:val="00FA765E"/>
    <w:rsid w:val="00FA791B"/>
    <w:rsid w:val="00FB0529"/>
    <w:rsid w:val="00FB082A"/>
    <w:rsid w:val="00FB0E6B"/>
    <w:rsid w:val="00FB160B"/>
    <w:rsid w:val="00FB1CC2"/>
    <w:rsid w:val="00FB2760"/>
    <w:rsid w:val="00FB2C1F"/>
    <w:rsid w:val="00FB312F"/>
    <w:rsid w:val="00FB39A8"/>
    <w:rsid w:val="00FB39FF"/>
    <w:rsid w:val="00FB3D00"/>
    <w:rsid w:val="00FB4096"/>
    <w:rsid w:val="00FB419C"/>
    <w:rsid w:val="00FB4526"/>
    <w:rsid w:val="00FB487D"/>
    <w:rsid w:val="00FB4DA8"/>
    <w:rsid w:val="00FB4EC0"/>
    <w:rsid w:val="00FB4EFF"/>
    <w:rsid w:val="00FB534E"/>
    <w:rsid w:val="00FB540D"/>
    <w:rsid w:val="00FB5684"/>
    <w:rsid w:val="00FB5695"/>
    <w:rsid w:val="00FB5C06"/>
    <w:rsid w:val="00FB5E4D"/>
    <w:rsid w:val="00FB6551"/>
    <w:rsid w:val="00FB6DF8"/>
    <w:rsid w:val="00FB72E4"/>
    <w:rsid w:val="00FB739B"/>
    <w:rsid w:val="00FB7744"/>
    <w:rsid w:val="00FB7FA7"/>
    <w:rsid w:val="00FC0419"/>
    <w:rsid w:val="00FC0D8E"/>
    <w:rsid w:val="00FC0F66"/>
    <w:rsid w:val="00FC1ECD"/>
    <w:rsid w:val="00FC1F05"/>
    <w:rsid w:val="00FC2060"/>
    <w:rsid w:val="00FC28C7"/>
    <w:rsid w:val="00FC2CD1"/>
    <w:rsid w:val="00FC2EA5"/>
    <w:rsid w:val="00FC3434"/>
    <w:rsid w:val="00FC398D"/>
    <w:rsid w:val="00FC4664"/>
    <w:rsid w:val="00FC4EE3"/>
    <w:rsid w:val="00FC557F"/>
    <w:rsid w:val="00FC5CFF"/>
    <w:rsid w:val="00FC5E0C"/>
    <w:rsid w:val="00FC630D"/>
    <w:rsid w:val="00FC6311"/>
    <w:rsid w:val="00FC64F0"/>
    <w:rsid w:val="00FC66BE"/>
    <w:rsid w:val="00FC66F4"/>
    <w:rsid w:val="00FC6B4B"/>
    <w:rsid w:val="00FC6C6B"/>
    <w:rsid w:val="00FC7189"/>
    <w:rsid w:val="00FC724A"/>
    <w:rsid w:val="00FC728F"/>
    <w:rsid w:val="00FC7476"/>
    <w:rsid w:val="00FD0104"/>
    <w:rsid w:val="00FD0BF6"/>
    <w:rsid w:val="00FD101B"/>
    <w:rsid w:val="00FD194E"/>
    <w:rsid w:val="00FD1DBF"/>
    <w:rsid w:val="00FD1DD3"/>
    <w:rsid w:val="00FD2754"/>
    <w:rsid w:val="00FD2BB9"/>
    <w:rsid w:val="00FD2D0E"/>
    <w:rsid w:val="00FD2D65"/>
    <w:rsid w:val="00FD3741"/>
    <w:rsid w:val="00FD3EA5"/>
    <w:rsid w:val="00FD52FC"/>
    <w:rsid w:val="00FD5C9A"/>
    <w:rsid w:val="00FD5DEF"/>
    <w:rsid w:val="00FD613F"/>
    <w:rsid w:val="00FD78FD"/>
    <w:rsid w:val="00FD7D60"/>
    <w:rsid w:val="00FD7FD4"/>
    <w:rsid w:val="00FE0BA0"/>
    <w:rsid w:val="00FE0D8E"/>
    <w:rsid w:val="00FE1645"/>
    <w:rsid w:val="00FE180B"/>
    <w:rsid w:val="00FE1F15"/>
    <w:rsid w:val="00FE235F"/>
    <w:rsid w:val="00FE2547"/>
    <w:rsid w:val="00FE321E"/>
    <w:rsid w:val="00FE3302"/>
    <w:rsid w:val="00FE332A"/>
    <w:rsid w:val="00FE3DBA"/>
    <w:rsid w:val="00FE43D3"/>
    <w:rsid w:val="00FE4CF0"/>
    <w:rsid w:val="00FE516A"/>
    <w:rsid w:val="00FE5465"/>
    <w:rsid w:val="00FE595C"/>
    <w:rsid w:val="00FE6E38"/>
    <w:rsid w:val="00FE7494"/>
    <w:rsid w:val="00FE791C"/>
    <w:rsid w:val="00FE7ABF"/>
    <w:rsid w:val="00FE7C13"/>
    <w:rsid w:val="00FF001D"/>
    <w:rsid w:val="00FF0270"/>
    <w:rsid w:val="00FF02F2"/>
    <w:rsid w:val="00FF0468"/>
    <w:rsid w:val="00FF0C8A"/>
    <w:rsid w:val="00FF0F7F"/>
    <w:rsid w:val="00FF1819"/>
    <w:rsid w:val="00FF1EC4"/>
    <w:rsid w:val="00FF2149"/>
    <w:rsid w:val="00FF24F7"/>
    <w:rsid w:val="00FF2B9A"/>
    <w:rsid w:val="00FF3033"/>
    <w:rsid w:val="00FF3462"/>
    <w:rsid w:val="00FF3608"/>
    <w:rsid w:val="00FF3629"/>
    <w:rsid w:val="00FF3CA6"/>
    <w:rsid w:val="00FF3EDB"/>
    <w:rsid w:val="00FF3F13"/>
    <w:rsid w:val="00FF41A1"/>
    <w:rsid w:val="00FF44F5"/>
    <w:rsid w:val="00FF469C"/>
    <w:rsid w:val="00FF46EC"/>
    <w:rsid w:val="00FF47DF"/>
    <w:rsid w:val="00FF4A55"/>
    <w:rsid w:val="00FF4CF9"/>
    <w:rsid w:val="00FF4DC9"/>
    <w:rsid w:val="00FF521F"/>
    <w:rsid w:val="00FF545A"/>
    <w:rsid w:val="00FF67F8"/>
    <w:rsid w:val="00FF6953"/>
    <w:rsid w:val="00FF69DD"/>
    <w:rsid w:val="00FF6E8C"/>
    <w:rsid w:val="00FF73D6"/>
    <w:rsid w:val="00FF7E45"/>
    <w:rsid w:val="00FF7ED3"/>
    <w:rsid w:val="0839271C"/>
    <w:rsid w:val="08D68C9A"/>
    <w:rsid w:val="0C99BEF3"/>
    <w:rsid w:val="0D3D04C7"/>
    <w:rsid w:val="12D2A12E"/>
    <w:rsid w:val="188CC932"/>
    <w:rsid w:val="1DF557C1"/>
    <w:rsid w:val="1E6AABC6"/>
    <w:rsid w:val="203E92CC"/>
    <w:rsid w:val="23816087"/>
    <w:rsid w:val="25B4A66A"/>
    <w:rsid w:val="2A2C147B"/>
    <w:rsid w:val="2ACA88FA"/>
    <w:rsid w:val="340F5025"/>
    <w:rsid w:val="4E0DE147"/>
    <w:rsid w:val="4F2F59B3"/>
    <w:rsid w:val="560F7A52"/>
    <w:rsid w:val="5C31B67C"/>
    <w:rsid w:val="5C4E5FEE"/>
    <w:rsid w:val="5CC99D45"/>
    <w:rsid w:val="5D1F8E85"/>
    <w:rsid w:val="5DD186A0"/>
    <w:rsid w:val="5E2F808E"/>
    <w:rsid w:val="5EA91A34"/>
    <w:rsid w:val="64081F04"/>
    <w:rsid w:val="6853E896"/>
    <w:rsid w:val="6C9591E4"/>
    <w:rsid w:val="6F0C94D7"/>
    <w:rsid w:val="6F1B9CEE"/>
    <w:rsid w:val="7037CF07"/>
    <w:rsid w:val="73D84618"/>
    <w:rsid w:val="75487E81"/>
    <w:rsid w:val="788433D0"/>
    <w:rsid w:val="7B50C22B"/>
    <w:rsid w:val="7C2910F1"/>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6D81D"/>
  <w15:chartTrackingRefBased/>
  <w15:docId w15:val="{EDCF063C-9F85-4F32-B520-860B22578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6A6B98"/>
    <w:pPr>
      <w:spacing w:before="120" w:line="288" w:lineRule="auto"/>
    </w:pPr>
    <w:rPr>
      <w:rFonts w:ascii="Source Sans Pro" w:hAnsi="Source Sans Pro"/>
      <w:color w:val="000000" w:themeColor="text1"/>
      <w:sz w:val="24"/>
    </w:rPr>
  </w:style>
  <w:style w:type="paragraph" w:styleId="Heading1">
    <w:name w:val="heading 1"/>
    <w:aliases w:val="H2"/>
    <w:basedOn w:val="Normal"/>
    <w:next w:val="Normal"/>
    <w:link w:val="Heading1Char"/>
    <w:uiPriority w:val="5"/>
    <w:qFormat/>
    <w:rsid w:val="006A6B98"/>
    <w:pPr>
      <w:keepNext/>
      <w:keepLines/>
      <w:spacing w:before="360"/>
      <w:outlineLvl w:val="0"/>
    </w:pPr>
    <w:rPr>
      <w:rFonts w:eastAsiaTheme="majorEastAsia" w:cstheme="majorBidi"/>
      <w:b/>
      <w:color w:val="052A4D" w:themeColor="accent1"/>
      <w:sz w:val="30"/>
      <w:szCs w:val="32"/>
    </w:rPr>
  </w:style>
  <w:style w:type="paragraph" w:styleId="Heading2">
    <w:name w:val="heading 2"/>
    <w:aliases w:val="H3"/>
    <w:basedOn w:val="Normal"/>
    <w:next w:val="Normal"/>
    <w:link w:val="Heading2Char"/>
    <w:uiPriority w:val="5"/>
    <w:unhideWhenUsed/>
    <w:qFormat/>
    <w:rsid w:val="00AA013F"/>
    <w:pPr>
      <w:keepNext/>
      <w:keepLines/>
      <w:spacing w:before="360"/>
      <w:outlineLvl w:val="1"/>
    </w:pPr>
    <w:rPr>
      <w:rFonts w:eastAsiaTheme="majorEastAsia" w:cstheme="majorBidi"/>
      <w:b/>
      <w:color w:val="052A4D" w:themeColor="accent1"/>
      <w:sz w:val="25"/>
      <w:szCs w:val="26"/>
    </w:rPr>
  </w:style>
  <w:style w:type="paragraph" w:styleId="Heading3">
    <w:name w:val="heading 3"/>
    <w:aliases w:val="H4"/>
    <w:basedOn w:val="Normal"/>
    <w:next w:val="Normal"/>
    <w:link w:val="Heading3Char"/>
    <w:uiPriority w:val="5"/>
    <w:unhideWhenUsed/>
    <w:qFormat/>
    <w:rsid w:val="00AA013F"/>
    <w:pPr>
      <w:keepNext/>
      <w:keepLines/>
      <w:spacing w:before="360"/>
      <w:outlineLvl w:val="2"/>
    </w:pPr>
    <w:rPr>
      <w:rFonts w:eastAsiaTheme="majorEastAsia" w:cstheme="majorBidi"/>
      <w:b/>
      <w:color w:val="262626" w:themeColor="text2" w:themeTint="D9"/>
      <w:szCs w:val="24"/>
    </w:rPr>
  </w:style>
  <w:style w:type="paragraph" w:styleId="Heading4">
    <w:name w:val="heading 4"/>
    <w:aliases w:val="H5"/>
    <w:basedOn w:val="Normal"/>
    <w:next w:val="Normal"/>
    <w:link w:val="Heading4Char"/>
    <w:uiPriority w:val="5"/>
    <w:unhideWhenUsed/>
    <w:qFormat/>
    <w:rsid w:val="00AA013F"/>
    <w:pPr>
      <w:keepNext/>
      <w:keepLines/>
      <w:spacing w:before="360"/>
      <w:outlineLvl w:val="3"/>
    </w:pPr>
    <w:rPr>
      <w:rFonts w:eastAsiaTheme="majorEastAsia" w:cstheme="majorBidi"/>
      <w:b/>
      <w:i/>
      <w:iCs/>
      <w:color w:val="262626" w:themeColor="text2" w:themeTint="D9"/>
    </w:rPr>
  </w:style>
  <w:style w:type="paragraph" w:styleId="Heading5">
    <w:name w:val="heading 5"/>
    <w:basedOn w:val="Normal"/>
    <w:next w:val="Normal"/>
    <w:link w:val="Heading5Char"/>
    <w:uiPriority w:val="9"/>
    <w:unhideWhenUsed/>
    <w:rsid w:val="009A0570"/>
    <w:pPr>
      <w:outlineLvl w:val="4"/>
    </w:pPr>
  </w:style>
  <w:style w:type="paragraph" w:styleId="Heading6">
    <w:name w:val="heading 6"/>
    <w:basedOn w:val="Normal"/>
    <w:next w:val="Normal"/>
    <w:link w:val="Heading6Char"/>
    <w:uiPriority w:val="9"/>
    <w:unhideWhenUsed/>
    <w:rsid w:val="00DE3C92"/>
    <w:pPr>
      <w:keepNext/>
      <w:framePr w:hSpace="180" w:wrap="around" w:hAnchor="margin" w:y="735"/>
      <w:spacing w:after="0"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Page Titles,List Item,List Paragraph - bullets,Use Case List Paragraph,List 1,Other List,List Paragraph numbered,Numbered list,Otakaro List Paragraph,Questions,List Paragraph1,lp1,lp11,List Paragraph11,Bullet Point,Puces 1"/>
    <w:basedOn w:val="Normal"/>
    <w:link w:val="ListParagraphChar"/>
    <w:uiPriority w:val="34"/>
    <w:qFormat/>
    <w:rsid w:val="002E7E1D"/>
    <w:pPr>
      <w:numPr>
        <w:numId w:val="2"/>
      </w:numPr>
      <w:spacing w:after="120"/>
      <w:contextualSpacing/>
    </w:pPr>
    <w:rPr>
      <w:rFonts w:eastAsia="Calibri Light" w:cs="Calibri Light"/>
      <w:lang w:val="en-GB" w:eastAsia="en-GB" w:bidi="en-GB"/>
    </w:rPr>
  </w:style>
  <w:style w:type="character" w:customStyle="1" w:styleId="ListParagraphChar">
    <w:name w:val="List Paragraph Char"/>
    <w:aliases w:val="Numbered List Char,Page Titles Char,List Item Char,List Paragraph - bullets Char,Use Case List Paragraph Char,List 1 Char,Other List Char,List Paragraph numbered Char,Numbered list Char,Otakaro List Paragraph Char,Questions Char"/>
    <w:basedOn w:val="DefaultParagraphFont"/>
    <w:link w:val="ListParagraph"/>
    <w:uiPriority w:val="34"/>
    <w:qFormat/>
    <w:locked/>
    <w:rsid w:val="006A6B98"/>
    <w:rPr>
      <w:rFonts w:ascii="Source Sans Pro" w:eastAsia="Calibri Light" w:hAnsi="Source Sans Pro" w:cs="Calibri Light"/>
      <w:color w:val="000000" w:themeColor="text1"/>
      <w:sz w:val="24"/>
      <w:lang w:val="en-GB" w:eastAsia="en-GB" w:bidi="en-GB"/>
    </w:rPr>
  </w:style>
  <w:style w:type="paragraph" w:customStyle="1" w:styleId="Bullet">
    <w:name w:val="Bullet"/>
    <w:basedOn w:val="Normal"/>
    <w:link w:val="BulletChar"/>
    <w:uiPriority w:val="2"/>
    <w:qFormat/>
    <w:rsid w:val="002E7E1D"/>
    <w:pPr>
      <w:widowControl w:val="0"/>
      <w:numPr>
        <w:numId w:val="1"/>
      </w:numPr>
      <w:tabs>
        <w:tab w:val="left" w:pos="345"/>
      </w:tabs>
      <w:autoSpaceDE w:val="0"/>
      <w:autoSpaceDN w:val="0"/>
      <w:spacing w:after="120"/>
      <w:contextualSpacing/>
    </w:pPr>
    <w:rPr>
      <w:rFonts w:eastAsia="Calibri" w:cs="Calibri"/>
      <w:lang w:val="en-GB" w:eastAsia="en-GB" w:bidi="en-GB"/>
    </w:rPr>
  </w:style>
  <w:style w:type="character" w:customStyle="1" w:styleId="BulletChar">
    <w:name w:val="Bullet Char"/>
    <w:basedOn w:val="DefaultParagraphFont"/>
    <w:link w:val="Bullet"/>
    <w:uiPriority w:val="2"/>
    <w:rsid w:val="006A6B98"/>
    <w:rPr>
      <w:rFonts w:ascii="Source Sans Pro" w:eastAsia="Calibri" w:hAnsi="Source Sans Pro" w:cs="Calibri"/>
      <w:color w:val="000000" w:themeColor="text1"/>
      <w:sz w:val="24"/>
      <w:lang w:val="en-GB" w:eastAsia="en-GB" w:bidi="en-GB"/>
    </w:rPr>
  </w:style>
  <w:style w:type="paragraph" w:styleId="Header">
    <w:name w:val="header"/>
    <w:basedOn w:val="Normal"/>
    <w:link w:val="HeaderChar"/>
    <w:uiPriority w:val="99"/>
    <w:unhideWhenUsed/>
    <w:rsid w:val="00651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14D4"/>
  </w:style>
  <w:style w:type="paragraph" w:styleId="Footer">
    <w:name w:val="footer"/>
    <w:basedOn w:val="Normal"/>
    <w:link w:val="FooterChar"/>
    <w:uiPriority w:val="99"/>
    <w:unhideWhenUsed/>
    <w:rsid w:val="0065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14D4"/>
  </w:style>
  <w:style w:type="character" w:customStyle="1" w:styleId="Heading1Char">
    <w:name w:val="Heading 1 Char"/>
    <w:aliases w:val="H2 Char"/>
    <w:basedOn w:val="DefaultParagraphFont"/>
    <w:link w:val="Heading1"/>
    <w:uiPriority w:val="5"/>
    <w:rsid w:val="006A6B98"/>
    <w:rPr>
      <w:rFonts w:ascii="Source Sans Pro" w:eastAsiaTheme="majorEastAsia" w:hAnsi="Source Sans Pro" w:cstheme="majorBidi"/>
      <w:b/>
      <w:color w:val="052A4D" w:themeColor="accent1"/>
      <w:sz w:val="30"/>
      <w:szCs w:val="32"/>
    </w:rPr>
  </w:style>
  <w:style w:type="character" w:customStyle="1" w:styleId="Heading2Char">
    <w:name w:val="Heading 2 Char"/>
    <w:aliases w:val="H3 Char"/>
    <w:basedOn w:val="DefaultParagraphFont"/>
    <w:link w:val="Heading2"/>
    <w:uiPriority w:val="5"/>
    <w:rsid w:val="006A6B98"/>
    <w:rPr>
      <w:rFonts w:ascii="Source Sans Pro" w:eastAsiaTheme="majorEastAsia" w:hAnsi="Source Sans Pro" w:cstheme="majorBidi"/>
      <w:b/>
      <w:color w:val="052A4D" w:themeColor="accent1"/>
      <w:sz w:val="25"/>
      <w:szCs w:val="26"/>
    </w:rPr>
  </w:style>
  <w:style w:type="character" w:customStyle="1" w:styleId="Heading3Char">
    <w:name w:val="Heading 3 Char"/>
    <w:aliases w:val="H4 Char"/>
    <w:basedOn w:val="DefaultParagraphFont"/>
    <w:link w:val="Heading3"/>
    <w:uiPriority w:val="5"/>
    <w:rsid w:val="006A6B98"/>
    <w:rPr>
      <w:rFonts w:ascii="Source Sans Pro" w:eastAsiaTheme="majorEastAsia" w:hAnsi="Source Sans Pro" w:cstheme="majorBidi"/>
      <w:b/>
      <w:color w:val="262626" w:themeColor="text2" w:themeTint="D9"/>
      <w:sz w:val="24"/>
      <w:szCs w:val="24"/>
    </w:rPr>
  </w:style>
  <w:style w:type="character" w:customStyle="1" w:styleId="Heading4Char">
    <w:name w:val="Heading 4 Char"/>
    <w:aliases w:val="H5 Char"/>
    <w:basedOn w:val="DefaultParagraphFont"/>
    <w:link w:val="Heading4"/>
    <w:uiPriority w:val="5"/>
    <w:rsid w:val="006A6B98"/>
    <w:rPr>
      <w:rFonts w:ascii="Source Sans Pro" w:eastAsiaTheme="majorEastAsia" w:hAnsi="Source Sans Pro" w:cstheme="majorBidi"/>
      <w:b/>
      <w:i/>
      <w:iCs/>
      <w:color w:val="262626" w:themeColor="text2" w:themeTint="D9"/>
      <w:sz w:val="24"/>
    </w:rPr>
  </w:style>
  <w:style w:type="character" w:customStyle="1" w:styleId="Heading5Char">
    <w:name w:val="Heading 5 Char"/>
    <w:basedOn w:val="DefaultParagraphFont"/>
    <w:link w:val="Heading5"/>
    <w:uiPriority w:val="9"/>
    <w:rsid w:val="009A0570"/>
    <w:rPr>
      <w:sz w:val="24"/>
    </w:rPr>
  </w:style>
  <w:style w:type="character" w:styleId="SubtleEmphasis">
    <w:name w:val="Subtle Emphasis"/>
    <w:basedOn w:val="DefaultParagraphFont"/>
    <w:uiPriority w:val="19"/>
    <w:rsid w:val="002576D6"/>
    <w:rPr>
      <w:i/>
      <w:iCs/>
      <w:color w:val="404040" w:themeColor="text1" w:themeTint="BF"/>
    </w:rPr>
  </w:style>
  <w:style w:type="character" w:styleId="Emphasis">
    <w:name w:val="Emphasis"/>
    <w:basedOn w:val="DefaultParagraphFont"/>
    <w:uiPriority w:val="20"/>
    <w:rsid w:val="002576D6"/>
    <w:rPr>
      <w:i/>
      <w:iCs/>
    </w:rPr>
  </w:style>
  <w:style w:type="character" w:styleId="IntenseEmphasis">
    <w:name w:val="Intense Emphasis"/>
    <w:basedOn w:val="DefaultParagraphFont"/>
    <w:uiPriority w:val="21"/>
    <w:rsid w:val="002576D6"/>
    <w:rPr>
      <w:i/>
      <w:iCs/>
      <w:color w:val="052A4D" w:themeColor="accent1"/>
    </w:rPr>
  </w:style>
  <w:style w:type="character" w:styleId="Strong">
    <w:name w:val="Strong"/>
    <w:basedOn w:val="DefaultParagraphFont"/>
    <w:uiPriority w:val="22"/>
    <w:rsid w:val="002576D6"/>
    <w:rPr>
      <w:b/>
      <w:bCs/>
    </w:rPr>
  </w:style>
  <w:style w:type="paragraph" w:styleId="Quote">
    <w:name w:val="Quote"/>
    <w:basedOn w:val="Normal"/>
    <w:next w:val="Normal"/>
    <w:link w:val="QuoteChar"/>
    <w:uiPriority w:val="11"/>
    <w:qFormat/>
    <w:rsid w:val="005F3EB3"/>
    <w:pPr>
      <w:spacing w:before="200"/>
    </w:pPr>
    <w:rPr>
      <w:i/>
      <w:iCs/>
      <w:color w:val="052A4D" w:themeColor="accent1"/>
    </w:rPr>
  </w:style>
  <w:style w:type="character" w:customStyle="1" w:styleId="QuoteChar">
    <w:name w:val="Quote Char"/>
    <w:basedOn w:val="DefaultParagraphFont"/>
    <w:link w:val="Quote"/>
    <w:uiPriority w:val="11"/>
    <w:rsid w:val="006A6B98"/>
    <w:rPr>
      <w:rFonts w:ascii="Source Sans Pro" w:hAnsi="Source Sans Pro"/>
      <w:i/>
      <w:iCs/>
      <w:color w:val="052A4D" w:themeColor="accent1"/>
      <w:sz w:val="24"/>
    </w:rPr>
  </w:style>
  <w:style w:type="paragraph" w:styleId="IntenseQuote">
    <w:name w:val="Intense Quote"/>
    <w:basedOn w:val="Normal"/>
    <w:next w:val="Normal"/>
    <w:link w:val="IntenseQuoteChar"/>
    <w:uiPriority w:val="30"/>
    <w:rsid w:val="003F3452"/>
    <w:pPr>
      <w:pBdr>
        <w:top w:val="single" w:sz="4" w:space="10" w:color="052A4D" w:themeColor="accent1"/>
        <w:bottom w:val="single" w:sz="4" w:space="10" w:color="052A4D" w:themeColor="accent1"/>
      </w:pBdr>
      <w:spacing w:before="360" w:after="360"/>
      <w:ind w:left="864" w:right="864"/>
      <w:jc w:val="center"/>
    </w:pPr>
    <w:rPr>
      <w:i/>
      <w:iCs/>
      <w:color w:val="052A4D" w:themeColor="accent1"/>
    </w:rPr>
  </w:style>
  <w:style w:type="character" w:customStyle="1" w:styleId="IntenseQuoteChar">
    <w:name w:val="Intense Quote Char"/>
    <w:basedOn w:val="DefaultParagraphFont"/>
    <w:link w:val="IntenseQuote"/>
    <w:uiPriority w:val="30"/>
    <w:rsid w:val="003F3452"/>
    <w:rPr>
      <w:i/>
      <w:iCs/>
      <w:color w:val="052A4D" w:themeColor="accent1"/>
      <w:sz w:val="24"/>
    </w:rPr>
  </w:style>
  <w:style w:type="character" w:styleId="SubtleReference">
    <w:name w:val="Subtle Reference"/>
    <w:basedOn w:val="DefaultParagraphFont"/>
    <w:uiPriority w:val="31"/>
    <w:rsid w:val="00A20B76"/>
    <w:rPr>
      <w:smallCaps/>
      <w:color w:val="5A5A5A" w:themeColor="text1" w:themeTint="A5"/>
    </w:rPr>
  </w:style>
  <w:style w:type="character" w:styleId="IntenseReference">
    <w:name w:val="Intense Reference"/>
    <w:basedOn w:val="DefaultParagraphFont"/>
    <w:uiPriority w:val="32"/>
    <w:rsid w:val="00A20B76"/>
    <w:rPr>
      <w:b/>
      <w:bCs/>
      <w:smallCaps/>
      <w:color w:val="052A4D" w:themeColor="accent1"/>
      <w:spacing w:val="5"/>
    </w:rPr>
  </w:style>
  <w:style w:type="paragraph" w:styleId="Title">
    <w:name w:val="Title"/>
    <w:aliases w:val="H1"/>
    <w:basedOn w:val="Heading1"/>
    <w:next w:val="Normal"/>
    <w:link w:val="TitleChar"/>
    <w:uiPriority w:val="4"/>
    <w:qFormat/>
    <w:rsid w:val="00FD1DD3"/>
    <w:pPr>
      <w:spacing w:line="240" w:lineRule="auto"/>
    </w:pPr>
    <w:rPr>
      <w:color w:val="FFFFFF" w:themeColor="background2"/>
      <w:sz w:val="72"/>
      <w:szCs w:val="72"/>
      <w:lang w:val="en-GB"/>
    </w:rPr>
  </w:style>
  <w:style w:type="character" w:customStyle="1" w:styleId="TitleChar">
    <w:name w:val="Title Char"/>
    <w:aliases w:val="H1 Char"/>
    <w:basedOn w:val="DefaultParagraphFont"/>
    <w:link w:val="Title"/>
    <w:uiPriority w:val="4"/>
    <w:rsid w:val="006A6B98"/>
    <w:rPr>
      <w:rFonts w:ascii="Source Sans Pro" w:eastAsiaTheme="majorEastAsia" w:hAnsi="Source Sans Pro" w:cstheme="majorBidi"/>
      <w:b/>
      <w:color w:val="FFFFFF" w:themeColor="background2"/>
      <w:sz w:val="72"/>
      <w:szCs w:val="72"/>
      <w:lang w:val="en-GB"/>
    </w:rPr>
  </w:style>
  <w:style w:type="paragraph" w:styleId="NoSpacing">
    <w:name w:val="No Spacing"/>
    <w:link w:val="NoSpacingChar"/>
    <w:uiPriority w:val="49"/>
    <w:rsid w:val="009E7436"/>
    <w:pPr>
      <w:spacing w:after="0" w:line="240" w:lineRule="auto"/>
    </w:pPr>
    <w:rPr>
      <w:rFonts w:ascii="Source Sans Pro" w:eastAsiaTheme="minorEastAsia" w:hAnsi="Source Sans Pro"/>
      <w:sz w:val="24"/>
      <w:lang w:val="en-US"/>
    </w:rPr>
  </w:style>
  <w:style w:type="character" w:customStyle="1" w:styleId="NoSpacingChar">
    <w:name w:val="No Spacing Char"/>
    <w:basedOn w:val="DefaultParagraphFont"/>
    <w:link w:val="NoSpacing"/>
    <w:uiPriority w:val="49"/>
    <w:rsid w:val="006A6B98"/>
    <w:rPr>
      <w:rFonts w:ascii="Source Sans Pro" w:eastAsiaTheme="minorEastAsia" w:hAnsi="Source Sans Pro"/>
      <w:sz w:val="24"/>
      <w:lang w:val="en-US"/>
    </w:rPr>
  </w:style>
  <w:style w:type="table" w:styleId="TableGrid">
    <w:name w:val="Table Grid"/>
    <w:basedOn w:val="TableNormal"/>
    <w:uiPriority w:val="39"/>
    <w:rsid w:val="00695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C30143"/>
    <w:pPr>
      <w:spacing w:after="0" w:line="240" w:lineRule="auto"/>
    </w:pPr>
    <w:tblPr>
      <w:tblStyleRowBandSize w:val="1"/>
      <w:tblStyleColBandSize w:val="1"/>
      <w:tblBorders>
        <w:top w:val="single" w:sz="4" w:space="0" w:color="57FFF1" w:themeColor="accent6" w:themeTint="66"/>
        <w:left w:val="single" w:sz="4" w:space="0" w:color="57FFF1" w:themeColor="accent6" w:themeTint="66"/>
        <w:bottom w:val="single" w:sz="4" w:space="0" w:color="57FFF1" w:themeColor="accent6" w:themeTint="66"/>
        <w:right w:val="single" w:sz="4" w:space="0" w:color="57FFF1" w:themeColor="accent6" w:themeTint="66"/>
        <w:insideH w:val="single" w:sz="4" w:space="0" w:color="57FFF1" w:themeColor="accent6" w:themeTint="66"/>
        <w:insideV w:val="single" w:sz="4" w:space="0" w:color="57FFF1" w:themeColor="accent6" w:themeTint="66"/>
      </w:tblBorders>
    </w:tblPr>
    <w:tblStylePr w:type="firstRow">
      <w:rPr>
        <w:b/>
        <w:bCs/>
      </w:rPr>
      <w:tblPr/>
      <w:tcPr>
        <w:tcBorders>
          <w:bottom w:val="single" w:sz="12" w:space="0" w:color="03FFEB" w:themeColor="accent6" w:themeTint="99"/>
        </w:tcBorders>
      </w:tcPr>
    </w:tblStylePr>
    <w:tblStylePr w:type="lastRow">
      <w:rPr>
        <w:b/>
        <w:bCs/>
      </w:rPr>
      <w:tblPr/>
      <w:tcPr>
        <w:tcBorders>
          <w:top w:val="double" w:sz="2" w:space="0" w:color="03FFEB" w:themeColor="accent6"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A587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5Dark-Accent4">
    <w:name w:val="List Table 5 Dark Accent 4"/>
    <w:basedOn w:val="TableNormal"/>
    <w:uiPriority w:val="50"/>
    <w:rsid w:val="008A5871"/>
    <w:pPr>
      <w:spacing w:after="0" w:line="240" w:lineRule="auto"/>
    </w:pPr>
    <w:rPr>
      <w:color w:val="FFFFFF" w:themeColor="background1"/>
    </w:rPr>
    <w:tblPr>
      <w:tblStyleRowBandSize w:val="1"/>
      <w:tblStyleColBandSize w:val="1"/>
      <w:tblBorders>
        <w:top w:val="single" w:sz="24" w:space="0" w:color="04CDBE" w:themeColor="accent4"/>
        <w:left w:val="single" w:sz="24" w:space="0" w:color="04CDBE" w:themeColor="accent4"/>
        <w:bottom w:val="single" w:sz="24" w:space="0" w:color="04CDBE" w:themeColor="accent4"/>
        <w:right w:val="single" w:sz="24" w:space="0" w:color="04CDBE" w:themeColor="accent4"/>
      </w:tblBorders>
    </w:tblPr>
    <w:tcPr>
      <w:shd w:val="clear" w:color="auto" w:fill="04CDB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Accent5">
    <w:name w:val="List Table 7 Colorful Accent 5"/>
    <w:basedOn w:val="TableNormal"/>
    <w:uiPriority w:val="52"/>
    <w:rsid w:val="008A5871"/>
    <w:pPr>
      <w:spacing w:after="0" w:line="240" w:lineRule="auto"/>
    </w:pPr>
    <w:rPr>
      <w:color w:val="C4341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593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593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593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5939" w:themeColor="accent5"/>
        </w:tcBorders>
        <w:shd w:val="clear" w:color="auto" w:fill="FFFFFF" w:themeFill="background1"/>
      </w:tcPr>
    </w:tblStylePr>
    <w:tblStylePr w:type="band1Vert">
      <w:tblPr/>
      <w:tcPr>
        <w:shd w:val="clear" w:color="auto" w:fill="FADDD7" w:themeFill="accent5" w:themeFillTint="33"/>
      </w:tcPr>
    </w:tblStylePr>
    <w:tblStylePr w:type="band1Horz">
      <w:tblPr/>
      <w:tcPr>
        <w:shd w:val="clear" w:color="auto" w:fill="FADD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E301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4A746C"/>
    <w:pPr>
      <w:spacing w:after="0" w:line="240" w:lineRule="auto"/>
    </w:pPr>
    <w:tblPr>
      <w:tblStyleRowBandSize w:val="1"/>
      <w:tblStyleColBandSize w:val="1"/>
      <w:tblBorders>
        <w:top w:val="single" w:sz="4" w:space="0" w:color="5EABF4" w:themeColor="accent1" w:themeTint="66"/>
        <w:left w:val="single" w:sz="4" w:space="0" w:color="5EABF4" w:themeColor="accent1" w:themeTint="66"/>
        <w:bottom w:val="single" w:sz="4" w:space="0" w:color="5EABF4" w:themeColor="accent1" w:themeTint="66"/>
        <w:right w:val="single" w:sz="4" w:space="0" w:color="5EABF4" w:themeColor="accent1" w:themeTint="66"/>
        <w:insideH w:val="single" w:sz="4" w:space="0" w:color="5EABF4" w:themeColor="accent1" w:themeTint="66"/>
        <w:insideV w:val="single" w:sz="4" w:space="0" w:color="5EABF4" w:themeColor="accent1" w:themeTint="66"/>
      </w:tblBorders>
    </w:tblPr>
    <w:tblStylePr w:type="firstRow">
      <w:rPr>
        <w:b/>
        <w:bCs/>
      </w:rPr>
      <w:tblPr/>
      <w:tcPr>
        <w:tcBorders>
          <w:bottom w:val="single" w:sz="12" w:space="0" w:color="0F81ED" w:themeColor="accent1" w:themeTint="99"/>
        </w:tcBorders>
      </w:tcPr>
    </w:tblStylePr>
    <w:tblStylePr w:type="lastRow">
      <w:rPr>
        <w:b/>
        <w:bCs/>
      </w:rPr>
      <w:tblPr/>
      <w:tcPr>
        <w:tcBorders>
          <w:top w:val="double" w:sz="2" w:space="0" w:color="0F81ED" w:themeColor="accent1" w:themeTint="99"/>
        </w:tcBorders>
      </w:tcPr>
    </w:tblStylePr>
    <w:tblStylePr w:type="firstCol">
      <w:rPr>
        <w:b/>
        <w:bCs/>
      </w:rPr>
    </w:tblStylePr>
    <w:tblStylePr w:type="lastCol">
      <w:rPr>
        <w:b/>
        <w:bCs/>
      </w:rPr>
    </w:tblStylePr>
  </w:style>
  <w:style w:type="table" w:styleId="ListTable7Colorful">
    <w:name w:val="List Table 7 Colorful"/>
    <w:basedOn w:val="TableNormal"/>
    <w:uiPriority w:val="52"/>
    <w:rsid w:val="005E640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D5C9A"/>
    <w:pPr>
      <w:spacing w:after="0" w:line="240" w:lineRule="auto"/>
    </w:pPr>
    <w:rPr>
      <w:color w:val="00844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16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16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16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16A" w:themeColor="accent3"/>
        </w:tcBorders>
        <w:shd w:val="clear" w:color="auto" w:fill="FFFFFF" w:themeFill="background1"/>
      </w:tcPr>
    </w:tblStylePr>
    <w:tblStylePr w:type="band1Vert">
      <w:tblPr/>
      <w:tcPr>
        <w:shd w:val="clear" w:color="auto" w:fill="BCFFE4" w:themeFill="accent3" w:themeFillTint="33"/>
      </w:tcPr>
    </w:tblStylePr>
    <w:tblStylePr w:type="band1Horz">
      <w:tblPr/>
      <w:tcPr>
        <w:shd w:val="clear" w:color="auto" w:fill="BCFFE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6454F"/>
    <w:pPr>
      <w:spacing w:after="0" w:line="240" w:lineRule="auto"/>
    </w:pPr>
    <w:rPr>
      <w:color w:val="06789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8A2C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8A2C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8A2C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8A2C6" w:themeColor="accent2"/>
        </w:tcBorders>
        <w:shd w:val="clear" w:color="auto" w:fill="FFFFFF" w:themeFill="background1"/>
      </w:tcPr>
    </w:tblStylePr>
    <w:tblStylePr w:type="band1Vert">
      <w:tblPr/>
      <w:tcPr>
        <w:shd w:val="clear" w:color="auto" w:fill="C4F1FC" w:themeFill="accent2" w:themeFillTint="33"/>
      </w:tcPr>
    </w:tblStylePr>
    <w:tblStylePr w:type="band1Horz">
      <w:tblPr/>
      <w:tcPr>
        <w:shd w:val="clear" w:color="auto" w:fill="C4F1F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E7144"/>
    <w:pPr>
      <w:spacing w:after="0" w:line="240" w:lineRule="auto"/>
    </w:pPr>
    <w:rPr>
      <w:color w:val="031F3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2A4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2A4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2A4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2A4D" w:themeColor="accent1"/>
        </w:tcBorders>
        <w:shd w:val="clear" w:color="auto" w:fill="FFFFFF" w:themeFill="background1"/>
      </w:tcPr>
    </w:tblStylePr>
    <w:tblStylePr w:type="band1Vert">
      <w:tblPr/>
      <w:tcPr>
        <w:shd w:val="clear" w:color="auto" w:fill="AED5F9" w:themeFill="accent1" w:themeFillTint="33"/>
      </w:tcPr>
    </w:tblStylePr>
    <w:tblStylePr w:type="band1Horz">
      <w:tblPr/>
      <w:tcPr>
        <w:shd w:val="clear" w:color="auto" w:fill="AED5F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81625"/>
    <w:pPr>
      <w:spacing w:after="0" w:line="240" w:lineRule="auto"/>
    </w:pPr>
    <w:rPr>
      <w:color w:val="03998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4CDB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CDB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CDB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CDBE" w:themeColor="accent4"/>
        </w:tcBorders>
        <w:shd w:val="clear" w:color="auto" w:fill="FFFFFF" w:themeFill="background1"/>
      </w:tcPr>
    </w:tblStylePr>
    <w:tblStylePr w:type="band1Vert">
      <w:tblPr/>
      <w:tcPr>
        <w:shd w:val="clear" w:color="auto" w:fill="C3FEF9" w:themeFill="accent4" w:themeFillTint="33"/>
      </w:tcPr>
    </w:tblStylePr>
    <w:tblStylePr w:type="band1Horz">
      <w:tblPr/>
      <w:tcPr>
        <w:shd w:val="clear" w:color="auto" w:fill="C3FEF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odyText">
    <w:name w:val="Body Text"/>
    <w:basedOn w:val="Normal"/>
    <w:link w:val="BodyTextChar"/>
    <w:uiPriority w:val="99"/>
    <w:unhideWhenUsed/>
    <w:rsid w:val="005666EC"/>
    <w:rPr>
      <w:color w:val="FFFFFF" w:themeColor="background1"/>
    </w:rPr>
  </w:style>
  <w:style w:type="character" w:customStyle="1" w:styleId="BodyTextChar">
    <w:name w:val="Body Text Char"/>
    <w:basedOn w:val="DefaultParagraphFont"/>
    <w:link w:val="BodyText"/>
    <w:uiPriority w:val="1"/>
    <w:rsid w:val="005666EC"/>
    <w:rPr>
      <w:color w:val="FFFFFF" w:themeColor="background1"/>
      <w:sz w:val="24"/>
    </w:rPr>
  </w:style>
  <w:style w:type="paragraph" w:customStyle="1" w:styleId="Intro">
    <w:name w:val="Intro"/>
    <w:basedOn w:val="Normal"/>
    <w:uiPriority w:val="1"/>
    <w:qFormat/>
    <w:rsid w:val="006A6B98"/>
    <w:pPr>
      <w:spacing w:before="240" w:after="240"/>
    </w:pPr>
    <w:rPr>
      <w:color w:val="052A4D" w:themeColor="accent1"/>
      <w:sz w:val="28"/>
    </w:rPr>
  </w:style>
  <w:style w:type="character" w:styleId="Hyperlink">
    <w:name w:val="Hyperlink"/>
    <w:basedOn w:val="DefaultParagraphFont"/>
    <w:uiPriority w:val="99"/>
    <w:unhideWhenUsed/>
    <w:qFormat/>
    <w:rsid w:val="007A41CE"/>
    <w:rPr>
      <w:color w:val="0000FF" w:themeColor="hyperlink"/>
      <w:u w:val="single"/>
    </w:rPr>
  </w:style>
  <w:style w:type="character" w:styleId="UnresolvedMention">
    <w:name w:val="Unresolved Mention"/>
    <w:basedOn w:val="DefaultParagraphFont"/>
    <w:uiPriority w:val="99"/>
    <w:semiHidden/>
    <w:unhideWhenUsed/>
    <w:rsid w:val="007A41CE"/>
    <w:rPr>
      <w:color w:val="605E5C"/>
      <w:shd w:val="clear" w:color="auto" w:fill="E1DFDD"/>
    </w:rPr>
  </w:style>
  <w:style w:type="table" w:styleId="ListTable3-Accent1">
    <w:name w:val="List Table 3 Accent 1"/>
    <w:basedOn w:val="TableNormal"/>
    <w:uiPriority w:val="48"/>
    <w:rsid w:val="00A73FB1"/>
    <w:pPr>
      <w:spacing w:after="0" w:line="240" w:lineRule="auto"/>
    </w:pPr>
    <w:tblPr>
      <w:tblStyleRowBandSize w:val="1"/>
      <w:tblStyleColBandSize w:val="1"/>
      <w:tblBorders>
        <w:top w:val="single" w:sz="4" w:space="0" w:color="052A4D" w:themeColor="accent1"/>
        <w:left w:val="single" w:sz="4" w:space="0" w:color="052A4D" w:themeColor="accent1"/>
        <w:bottom w:val="single" w:sz="4" w:space="0" w:color="052A4D" w:themeColor="accent1"/>
        <w:right w:val="single" w:sz="4" w:space="0" w:color="052A4D" w:themeColor="accent1"/>
      </w:tblBorders>
    </w:tblPr>
    <w:tblStylePr w:type="firstRow">
      <w:rPr>
        <w:b/>
        <w:bCs/>
        <w:color w:val="FFFFFF" w:themeColor="background1"/>
      </w:rPr>
      <w:tblPr/>
      <w:tcPr>
        <w:shd w:val="clear" w:color="auto" w:fill="052A4D" w:themeFill="accent1"/>
      </w:tcPr>
    </w:tblStylePr>
    <w:tblStylePr w:type="lastRow">
      <w:rPr>
        <w:b/>
        <w:bCs/>
      </w:rPr>
      <w:tblPr/>
      <w:tcPr>
        <w:tcBorders>
          <w:top w:val="double" w:sz="4" w:space="0" w:color="052A4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2A4D" w:themeColor="accent1"/>
          <w:right w:val="single" w:sz="4" w:space="0" w:color="052A4D" w:themeColor="accent1"/>
        </w:tcBorders>
      </w:tcPr>
    </w:tblStylePr>
    <w:tblStylePr w:type="band1Horz">
      <w:tblPr/>
      <w:tcPr>
        <w:tcBorders>
          <w:top w:val="single" w:sz="4" w:space="0" w:color="052A4D" w:themeColor="accent1"/>
          <w:bottom w:val="single" w:sz="4" w:space="0" w:color="052A4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2A4D" w:themeColor="accent1"/>
          <w:left w:val="nil"/>
        </w:tcBorders>
      </w:tcPr>
    </w:tblStylePr>
    <w:tblStylePr w:type="swCell">
      <w:tblPr/>
      <w:tcPr>
        <w:tcBorders>
          <w:top w:val="double" w:sz="4" w:space="0" w:color="052A4D" w:themeColor="accent1"/>
          <w:right w:val="nil"/>
        </w:tcBorders>
      </w:tcPr>
    </w:tblStylePr>
  </w:style>
  <w:style w:type="paragraph" w:customStyle="1" w:styleId="Hyperlinks">
    <w:name w:val="Hyperlinks"/>
    <w:basedOn w:val="Normal"/>
    <w:uiPriority w:val="9"/>
    <w:rsid w:val="00634C6B"/>
    <w:rPr>
      <w:color w:val="0563C1"/>
      <w:u w:val="single"/>
    </w:rPr>
  </w:style>
  <w:style w:type="character" w:customStyle="1" w:styleId="Heading6Char">
    <w:name w:val="Heading 6 Char"/>
    <w:basedOn w:val="DefaultParagraphFont"/>
    <w:link w:val="Heading6"/>
    <w:uiPriority w:val="9"/>
    <w:rsid w:val="00DE3C92"/>
    <w:rPr>
      <w:b/>
      <w:bCs/>
      <w:color w:val="000000" w:themeColor="text1"/>
      <w:sz w:val="24"/>
    </w:rPr>
  </w:style>
  <w:style w:type="paragraph" w:customStyle="1" w:styleId="NoSpaceBodyCopy">
    <w:name w:val="No Space Body Copy"/>
    <w:basedOn w:val="Normal"/>
    <w:uiPriority w:val="14"/>
    <w:rsid w:val="00C649B2"/>
    <w:pPr>
      <w:spacing w:before="0" w:after="0" w:line="240" w:lineRule="auto"/>
    </w:pPr>
    <w:rPr>
      <w:rFonts w:eastAsiaTheme="minorEastAsia"/>
      <w:szCs w:val="20"/>
      <w:lang w:eastAsia="ja-JP"/>
    </w:rPr>
  </w:style>
  <w:style w:type="paragraph" w:customStyle="1" w:styleId="Hyper-link">
    <w:name w:val="Hyper-link"/>
    <w:basedOn w:val="Normal"/>
    <w:link w:val="Hyper-linkChar"/>
    <w:uiPriority w:val="14"/>
    <w:rsid w:val="00C61792"/>
    <w:pPr>
      <w:spacing w:before="0" w:line="240" w:lineRule="auto"/>
      <w:jc w:val="both"/>
    </w:pPr>
    <w:rPr>
      <w:rFonts w:eastAsiaTheme="minorEastAsia"/>
      <w:color w:val="DF6F1D"/>
      <w:szCs w:val="20"/>
      <w:u w:val="single"/>
      <w:lang w:eastAsia="ja-JP"/>
    </w:rPr>
  </w:style>
  <w:style w:type="character" w:customStyle="1" w:styleId="Hyper-linkChar">
    <w:name w:val="Hyper-link Char"/>
    <w:basedOn w:val="DefaultParagraphFont"/>
    <w:link w:val="Hyper-link"/>
    <w:uiPriority w:val="14"/>
    <w:rsid w:val="006A6B98"/>
    <w:rPr>
      <w:rFonts w:ascii="Source Sans Pro" w:eastAsiaTheme="minorEastAsia" w:hAnsi="Source Sans Pro"/>
      <w:color w:val="DF6F1D"/>
      <w:sz w:val="24"/>
      <w:szCs w:val="20"/>
      <w:u w:val="single"/>
      <w:lang w:eastAsia="ja-JP"/>
    </w:rPr>
  </w:style>
  <w:style w:type="paragraph" w:customStyle="1" w:styleId="BodyCopy">
    <w:name w:val="Body Copy"/>
    <w:basedOn w:val="Normal"/>
    <w:link w:val="BodyCopyChar"/>
    <w:rsid w:val="0026605A"/>
    <w:pPr>
      <w:spacing w:before="0" w:line="240" w:lineRule="auto"/>
      <w:jc w:val="both"/>
    </w:pPr>
    <w:rPr>
      <w:rFonts w:eastAsiaTheme="minorEastAsia"/>
      <w:szCs w:val="20"/>
      <w:lang w:eastAsia="ja-JP"/>
    </w:rPr>
  </w:style>
  <w:style w:type="character" w:customStyle="1" w:styleId="BodyCopyChar">
    <w:name w:val="Body Copy Char"/>
    <w:basedOn w:val="DefaultParagraphFont"/>
    <w:link w:val="BodyCopy"/>
    <w:rsid w:val="0026605A"/>
    <w:rPr>
      <w:rFonts w:ascii="Source Sans Pro" w:eastAsiaTheme="minorEastAsia" w:hAnsi="Source Sans Pro"/>
      <w:color w:val="000000" w:themeColor="text1"/>
      <w:sz w:val="24"/>
      <w:szCs w:val="20"/>
      <w:lang w:eastAsia="ja-JP"/>
    </w:rPr>
  </w:style>
  <w:style w:type="paragraph" w:customStyle="1" w:styleId="TableBullet">
    <w:name w:val="Table Bullet"/>
    <w:basedOn w:val="Bullet"/>
    <w:uiPriority w:val="7"/>
    <w:qFormat/>
    <w:rsid w:val="00BF7F5C"/>
    <w:pPr>
      <w:spacing w:before="80" w:after="80" w:line="240" w:lineRule="auto"/>
    </w:pPr>
    <w:rPr>
      <w:sz w:val="22"/>
    </w:rPr>
  </w:style>
  <w:style w:type="paragraph" w:customStyle="1" w:styleId="TableCopy">
    <w:name w:val="Table Copy"/>
    <w:basedOn w:val="Normal"/>
    <w:uiPriority w:val="6"/>
    <w:qFormat/>
    <w:rsid w:val="00322345"/>
    <w:pPr>
      <w:spacing w:before="80" w:after="80" w:line="240" w:lineRule="auto"/>
    </w:pPr>
    <w:rPr>
      <w:sz w:val="22"/>
      <w:szCs w:val="24"/>
    </w:rPr>
  </w:style>
  <w:style w:type="paragraph" w:customStyle="1" w:styleId="Captions">
    <w:name w:val="Captions"/>
    <w:basedOn w:val="Normal"/>
    <w:uiPriority w:val="10"/>
    <w:qFormat/>
    <w:rsid w:val="00492E31"/>
    <w:pPr>
      <w:spacing w:after="120" w:line="240" w:lineRule="auto"/>
    </w:pPr>
    <w:rPr>
      <w:color w:val="404040" w:themeColor="text2" w:themeTint="BF"/>
      <w:sz w:val="20"/>
    </w:rPr>
  </w:style>
  <w:style w:type="paragraph" w:customStyle="1" w:styleId="TableNumber">
    <w:name w:val="Table Number"/>
    <w:basedOn w:val="TableBullet"/>
    <w:uiPriority w:val="8"/>
    <w:qFormat/>
    <w:rsid w:val="00BF7F5C"/>
    <w:pPr>
      <w:numPr>
        <w:numId w:val="3"/>
      </w:numPr>
      <w:ind w:left="360"/>
    </w:pPr>
  </w:style>
  <w:style w:type="paragraph" w:styleId="NormalWeb">
    <w:name w:val="Normal (Web)"/>
    <w:basedOn w:val="Normal"/>
    <w:uiPriority w:val="99"/>
    <w:semiHidden/>
    <w:unhideWhenUsed/>
    <w:rsid w:val="00E31FF9"/>
    <w:pPr>
      <w:spacing w:before="100" w:beforeAutospacing="1" w:after="100" w:afterAutospacing="1" w:line="240" w:lineRule="auto"/>
    </w:pPr>
    <w:rPr>
      <w:rFonts w:ascii="Times New Roman" w:eastAsia="Times New Roman" w:hAnsi="Times New Roman" w:cs="Times New Roman"/>
      <w:color w:val="auto"/>
      <w:szCs w:val="24"/>
      <w:lang w:eastAsia="en-NZ"/>
    </w:rPr>
  </w:style>
  <w:style w:type="character" w:customStyle="1" w:styleId="ui-provider">
    <w:name w:val="ui-provider"/>
    <w:basedOn w:val="DefaultParagraphFont"/>
    <w:uiPriority w:val="49"/>
    <w:rsid w:val="00016408"/>
  </w:style>
  <w:style w:type="character" w:styleId="CommentReference">
    <w:name w:val="annotation reference"/>
    <w:basedOn w:val="DefaultParagraphFont"/>
    <w:uiPriority w:val="99"/>
    <w:semiHidden/>
    <w:unhideWhenUsed/>
    <w:rsid w:val="002B3AB3"/>
    <w:rPr>
      <w:sz w:val="16"/>
      <w:szCs w:val="16"/>
    </w:rPr>
  </w:style>
  <w:style w:type="paragraph" w:styleId="CommentText">
    <w:name w:val="annotation text"/>
    <w:basedOn w:val="Normal"/>
    <w:link w:val="CommentTextChar"/>
    <w:uiPriority w:val="99"/>
    <w:unhideWhenUsed/>
    <w:rsid w:val="002B3AB3"/>
    <w:pPr>
      <w:spacing w:line="240" w:lineRule="auto"/>
    </w:pPr>
    <w:rPr>
      <w:sz w:val="20"/>
      <w:szCs w:val="20"/>
    </w:rPr>
  </w:style>
  <w:style w:type="character" w:customStyle="1" w:styleId="CommentTextChar">
    <w:name w:val="Comment Text Char"/>
    <w:basedOn w:val="DefaultParagraphFont"/>
    <w:link w:val="CommentText"/>
    <w:uiPriority w:val="99"/>
    <w:rsid w:val="002B3AB3"/>
    <w:rPr>
      <w:rFonts w:ascii="Source Sans Pro" w:hAnsi="Source Sans Pro"/>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2B3AB3"/>
    <w:rPr>
      <w:b/>
      <w:bCs/>
    </w:rPr>
  </w:style>
  <w:style w:type="character" w:customStyle="1" w:styleId="CommentSubjectChar">
    <w:name w:val="Comment Subject Char"/>
    <w:basedOn w:val="CommentTextChar"/>
    <w:link w:val="CommentSubject"/>
    <w:uiPriority w:val="99"/>
    <w:semiHidden/>
    <w:rsid w:val="002B3AB3"/>
    <w:rPr>
      <w:rFonts w:ascii="Source Sans Pro" w:hAnsi="Source Sans Pro"/>
      <w:b/>
      <w:bCs/>
      <w:color w:val="000000" w:themeColor="text1"/>
      <w:sz w:val="20"/>
      <w:szCs w:val="20"/>
    </w:rPr>
  </w:style>
  <w:style w:type="paragraph" w:customStyle="1" w:styleId="CapLet">
    <w:name w:val="CapLet"/>
    <w:basedOn w:val="Bullet"/>
    <w:link w:val="CapLetChar"/>
    <w:qFormat/>
    <w:rsid w:val="00452CFB"/>
    <w:pPr>
      <w:keepLines/>
      <w:numPr>
        <w:numId w:val="4"/>
      </w:numPr>
      <w:spacing w:after="0" w:line="276" w:lineRule="auto"/>
      <w:ind w:left="714" w:hanging="357"/>
      <w:contextualSpacing w:val="0"/>
    </w:pPr>
  </w:style>
  <w:style w:type="character" w:customStyle="1" w:styleId="CapLetChar">
    <w:name w:val="CapLet Char"/>
    <w:basedOn w:val="BulletChar"/>
    <w:link w:val="CapLet"/>
    <w:rsid w:val="00452CFB"/>
    <w:rPr>
      <w:rFonts w:ascii="Source Sans Pro" w:eastAsia="Calibri" w:hAnsi="Source Sans Pro" w:cs="Calibri"/>
      <w:color w:val="000000" w:themeColor="text1"/>
      <w:sz w:val="24"/>
      <w:lang w:val="en-GB" w:eastAsia="en-GB" w:bidi="en-GB"/>
    </w:rPr>
  </w:style>
  <w:style w:type="paragraph" w:styleId="Revision">
    <w:name w:val="Revision"/>
    <w:hidden/>
    <w:uiPriority w:val="99"/>
    <w:semiHidden/>
    <w:rsid w:val="003F2CED"/>
    <w:pPr>
      <w:spacing w:after="0" w:line="240" w:lineRule="auto"/>
    </w:pPr>
    <w:rPr>
      <w:rFonts w:ascii="Source Sans Pro" w:hAnsi="Source Sans Pro"/>
      <w:color w:val="000000" w:themeColor="text1"/>
      <w:sz w:val="24"/>
    </w:rPr>
  </w:style>
  <w:style w:type="paragraph" w:styleId="TOCHeading">
    <w:name w:val="TOC Heading"/>
    <w:basedOn w:val="Heading1"/>
    <w:next w:val="Normal"/>
    <w:uiPriority w:val="39"/>
    <w:unhideWhenUsed/>
    <w:qFormat/>
    <w:rsid w:val="003A20D7"/>
    <w:pPr>
      <w:spacing w:before="240" w:after="0" w:line="259" w:lineRule="auto"/>
      <w:outlineLvl w:val="9"/>
    </w:pPr>
    <w:rPr>
      <w:rFonts w:asciiTheme="majorHAnsi" w:hAnsiTheme="majorHAnsi"/>
      <w:b w:val="0"/>
      <w:color w:val="031F39" w:themeColor="accent1" w:themeShade="BF"/>
      <w:sz w:val="32"/>
      <w:lang w:eastAsia="zh-CN" w:bidi="th-TH"/>
    </w:rPr>
  </w:style>
  <w:style w:type="paragraph" w:styleId="TOC1">
    <w:name w:val="toc 1"/>
    <w:basedOn w:val="Normal"/>
    <w:next w:val="Normal"/>
    <w:autoRedefine/>
    <w:uiPriority w:val="39"/>
    <w:unhideWhenUsed/>
    <w:rsid w:val="003A20D7"/>
    <w:pPr>
      <w:spacing w:after="100"/>
    </w:pPr>
  </w:style>
  <w:style w:type="paragraph" w:styleId="TOC2">
    <w:name w:val="toc 2"/>
    <w:basedOn w:val="Normal"/>
    <w:next w:val="Normal"/>
    <w:autoRedefine/>
    <w:uiPriority w:val="39"/>
    <w:unhideWhenUsed/>
    <w:rsid w:val="003A20D7"/>
    <w:pPr>
      <w:spacing w:after="100"/>
      <w:ind w:left="240"/>
    </w:pPr>
  </w:style>
  <w:style w:type="paragraph" w:styleId="TOC3">
    <w:name w:val="toc 3"/>
    <w:basedOn w:val="Normal"/>
    <w:next w:val="Normal"/>
    <w:autoRedefine/>
    <w:uiPriority w:val="39"/>
    <w:unhideWhenUsed/>
    <w:rsid w:val="001D68DA"/>
    <w:pPr>
      <w:tabs>
        <w:tab w:val="right" w:leader="dot" w:pos="9020"/>
      </w:tabs>
      <w:spacing w:before="0" w:after="100" w:line="259" w:lineRule="auto"/>
      <w:ind w:left="440"/>
    </w:pPr>
    <w:rPr>
      <w:rFonts w:eastAsiaTheme="minorEastAsia" w:cs="Times New Roman"/>
      <w:noProof/>
      <w:color w:val="auto"/>
      <w:sz w:val="22"/>
      <w:lang w:eastAsia="zh-CN" w:bidi="th-TH"/>
    </w:rPr>
  </w:style>
  <w:style w:type="character" w:styleId="Mention">
    <w:name w:val="Mention"/>
    <w:basedOn w:val="DefaultParagraphFont"/>
    <w:uiPriority w:val="99"/>
    <w:unhideWhenUsed/>
    <w:rsid w:val="0009006F"/>
    <w:rPr>
      <w:color w:val="2B579A"/>
      <w:shd w:val="clear" w:color="auto" w:fill="E1DFDD"/>
    </w:rPr>
  </w:style>
  <w:style w:type="paragraph" w:styleId="FootnoteText">
    <w:name w:val="footnote text"/>
    <w:basedOn w:val="Normal"/>
    <w:link w:val="FootnoteTextChar"/>
    <w:uiPriority w:val="99"/>
    <w:semiHidden/>
    <w:unhideWhenUsed/>
    <w:rsid w:val="003C315C"/>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3C315C"/>
    <w:rPr>
      <w:rFonts w:ascii="Source Sans Pro" w:hAnsi="Source Sans Pro"/>
      <w:color w:val="000000" w:themeColor="text1"/>
      <w:sz w:val="20"/>
      <w:szCs w:val="20"/>
    </w:rPr>
  </w:style>
  <w:style w:type="character" w:styleId="FootnoteReference">
    <w:name w:val="footnote reference"/>
    <w:basedOn w:val="DefaultParagraphFont"/>
    <w:uiPriority w:val="99"/>
    <w:semiHidden/>
    <w:unhideWhenUsed/>
    <w:rsid w:val="003C315C"/>
    <w:rPr>
      <w:vertAlign w:val="superscript"/>
    </w:rPr>
  </w:style>
  <w:style w:type="paragraph" w:styleId="Caption">
    <w:name w:val="caption"/>
    <w:basedOn w:val="Normal"/>
    <w:next w:val="Normal"/>
    <w:uiPriority w:val="35"/>
    <w:unhideWhenUsed/>
    <w:qFormat/>
    <w:rsid w:val="007E283F"/>
    <w:pPr>
      <w:spacing w:before="0" w:after="200" w:line="240" w:lineRule="auto"/>
    </w:pPr>
    <w:rPr>
      <w:i/>
      <w:iCs/>
      <w:color w:val="000000" w:themeColor="text2"/>
      <w:sz w:val="18"/>
      <w:szCs w:val="18"/>
    </w:rPr>
  </w:style>
  <w:style w:type="character" w:styleId="FollowedHyperlink">
    <w:name w:val="FollowedHyperlink"/>
    <w:basedOn w:val="DefaultParagraphFont"/>
    <w:uiPriority w:val="99"/>
    <w:semiHidden/>
    <w:unhideWhenUsed/>
    <w:rsid w:val="00616768"/>
    <w:rPr>
      <w:color w:val="052A4D" w:themeColor="followedHyperlink"/>
      <w:u w:val="single"/>
    </w:rPr>
  </w:style>
  <w:style w:type="paragraph" w:customStyle="1" w:styleId="pf0">
    <w:name w:val="pf0"/>
    <w:basedOn w:val="Normal"/>
    <w:rsid w:val="00C56505"/>
    <w:pPr>
      <w:spacing w:before="100" w:beforeAutospacing="1" w:after="100" w:afterAutospacing="1" w:line="240" w:lineRule="auto"/>
      <w:ind w:left="600"/>
    </w:pPr>
    <w:rPr>
      <w:rFonts w:ascii="Times New Roman" w:eastAsia="Times New Roman" w:hAnsi="Times New Roman" w:cs="Times New Roman"/>
      <w:color w:val="auto"/>
      <w:szCs w:val="24"/>
      <w:lang w:eastAsia="en-NZ"/>
    </w:rPr>
  </w:style>
  <w:style w:type="character" w:customStyle="1" w:styleId="cf01">
    <w:name w:val="cf01"/>
    <w:basedOn w:val="DefaultParagraphFont"/>
    <w:rsid w:val="00C56505"/>
    <w:rPr>
      <w:rFonts w:ascii="Segoe UI" w:hAnsi="Segoe UI" w:cs="Segoe UI" w:hint="default"/>
      <w:sz w:val="18"/>
      <w:szCs w:val="18"/>
    </w:rPr>
  </w:style>
  <w:style w:type="paragraph" w:customStyle="1" w:styleId="AonBodyCopy">
    <w:name w:val="Aon Body Copy"/>
    <w:basedOn w:val="Normal"/>
    <w:rsid w:val="00535170"/>
    <w:pPr>
      <w:spacing w:before="0" w:after="240" w:line="264" w:lineRule="auto"/>
    </w:pPr>
    <w:rPr>
      <w:rFonts w:ascii="Arial" w:eastAsia="MS Mincho" w:hAnsi="Arial"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8861">
      <w:bodyDiv w:val="1"/>
      <w:marLeft w:val="0"/>
      <w:marRight w:val="0"/>
      <w:marTop w:val="0"/>
      <w:marBottom w:val="0"/>
      <w:divBdr>
        <w:top w:val="none" w:sz="0" w:space="0" w:color="auto"/>
        <w:left w:val="none" w:sz="0" w:space="0" w:color="auto"/>
        <w:bottom w:val="none" w:sz="0" w:space="0" w:color="auto"/>
        <w:right w:val="none" w:sz="0" w:space="0" w:color="auto"/>
      </w:divBdr>
      <w:divsChild>
        <w:div w:id="1534343142">
          <w:marLeft w:val="547"/>
          <w:marRight w:val="0"/>
          <w:marTop w:val="0"/>
          <w:marBottom w:val="0"/>
          <w:divBdr>
            <w:top w:val="none" w:sz="0" w:space="0" w:color="auto"/>
            <w:left w:val="none" w:sz="0" w:space="0" w:color="auto"/>
            <w:bottom w:val="none" w:sz="0" w:space="0" w:color="auto"/>
            <w:right w:val="none" w:sz="0" w:space="0" w:color="auto"/>
          </w:divBdr>
        </w:div>
      </w:divsChild>
    </w:div>
    <w:div w:id="105152176">
      <w:bodyDiv w:val="1"/>
      <w:marLeft w:val="0"/>
      <w:marRight w:val="0"/>
      <w:marTop w:val="0"/>
      <w:marBottom w:val="0"/>
      <w:divBdr>
        <w:top w:val="none" w:sz="0" w:space="0" w:color="auto"/>
        <w:left w:val="none" w:sz="0" w:space="0" w:color="auto"/>
        <w:bottom w:val="none" w:sz="0" w:space="0" w:color="auto"/>
        <w:right w:val="none" w:sz="0" w:space="0" w:color="auto"/>
      </w:divBdr>
    </w:div>
    <w:div w:id="139923593">
      <w:bodyDiv w:val="1"/>
      <w:marLeft w:val="0"/>
      <w:marRight w:val="0"/>
      <w:marTop w:val="0"/>
      <w:marBottom w:val="0"/>
      <w:divBdr>
        <w:top w:val="none" w:sz="0" w:space="0" w:color="auto"/>
        <w:left w:val="none" w:sz="0" w:space="0" w:color="auto"/>
        <w:bottom w:val="none" w:sz="0" w:space="0" w:color="auto"/>
        <w:right w:val="none" w:sz="0" w:space="0" w:color="auto"/>
      </w:divBdr>
    </w:div>
    <w:div w:id="163788869">
      <w:bodyDiv w:val="1"/>
      <w:marLeft w:val="0"/>
      <w:marRight w:val="0"/>
      <w:marTop w:val="0"/>
      <w:marBottom w:val="0"/>
      <w:divBdr>
        <w:top w:val="none" w:sz="0" w:space="0" w:color="auto"/>
        <w:left w:val="none" w:sz="0" w:space="0" w:color="auto"/>
        <w:bottom w:val="none" w:sz="0" w:space="0" w:color="auto"/>
        <w:right w:val="none" w:sz="0" w:space="0" w:color="auto"/>
      </w:divBdr>
    </w:div>
    <w:div w:id="197935386">
      <w:bodyDiv w:val="1"/>
      <w:marLeft w:val="0"/>
      <w:marRight w:val="0"/>
      <w:marTop w:val="0"/>
      <w:marBottom w:val="0"/>
      <w:divBdr>
        <w:top w:val="none" w:sz="0" w:space="0" w:color="auto"/>
        <w:left w:val="none" w:sz="0" w:space="0" w:color="auto"/>
        <w:bottom w:val="none" w:sz="0" w:space="0" w:color="auto"/>
        <w:right w:val="none" w:sz="0" w:space="0" w:color="auto"/>
      </w:divBdr>
    </w:div>
    <w:div w:id="210309150">
      <w:bodyDiv w:val="1"/>
      <w:marLeft w:val="0"/>
      <w:marRight w:val="0"/>
      <w:marTop w:val="0"/>
      <w:marBottom w:val="0"/>
      <w:divBdr>
        <w:top w:val="none" w:sz="0" w:space="0" w:color="auto"/>
        <w:left w:val="none" w:sz="0" w:space="0" w:color="auto"/>
        <w:bottom w:val="none" w:sz="0" w:space="0" w:color="auto"/>
        <w:right w:val="none" w:sz="0" w:space="0" w:color="auto"/>
      </w:divBdr>
      <w:divsChild>
        <w:div w:id="1878857676">
          <w:marLeft w:val="547"/>
          <w:marRight w:val="0"/>
          <w:marTop w:val="0"/>
          <w:marBottom w:val="0"/>
          <w:divBdr>
            <w:top w:val="none" w:sz="0" w:space="0" w:color="auto"/>
            <w:left w:val="none" w:sz="0" w:space="0" w:color="auto"/>
            <w:bottom w:val="none" w:sz="0" w:space="0" w:color="auto"/>
            <w:right w:val="none" w:sz="0" w:space="0" w:color="auto"/>
          </w:divBdr>
        </w:div>
      </w:divsChild>
    </w:div>
    <w:div w:id="283387073">
      <w:bodyDiv w:val="1"/>
      <w:marLeft w:val="0"/>
      <w:marRight w:val="0"/>
      <w:marTop w:val="0"/>
      <w:marBottom w:val="0"/>
      <w:divBdr>
        <w:top w:val="none" w:sz="0" w:space="0" w:color="auto"/>
        <w:left w:val="none" w:sz="0" w:space="0" w:color="auto"/>
        <w:bottom w:val="none" w:sz="0" w:space="0" w:color="auto"/>
        <w:right w:val="none" w:sz="0" w:space="0" w:color="auto"/>
      </w:divBdr>
    </w:div>
    <w:div w:id="303967049">
      <w:bodyDiv w:val="1"/>
      <w:marLeft w:val="0"/>
      <w:marRight w:val="0"/>
      <w:marTop w:val="0"/>
      <w:marBottom w:val="0"/>
      <w:divBdr>
        <w:top w:val="none" w:sz="0" w:space="0" w:color="auto"/>
        <w:left w:val="none" w:sz="0" w:space="0" w:color="auto"/>
        <w:bottom w:val="none" w:sz="0" w:space="0" w:color="auto"/>
        <w:right w:val="none" w:sz="0" w:space="0" w:color="auto"/>
      </w:divBdr>
    </w:div>
    <w:div w:id="322127062">
      <w:bodyDiv w:val="1"/>
      <w:marLeft w:val="0"/>
      <w:marRight w:val="0"/>
      <w:marTop w:val="0"/>
      <w:marBottom w:val="0"/>
      <w:divBdr>
        <w:top w:val="none" w:sz="0" w:space="0" w:color="auto"/>
        <w:left w:val="none" w:sz="0" w:space="0" w:color="auto"/>
        <w:bottom w:val="none" w:sz="0" w:space="0" w:color="auto"/>
        <w:right w:val="none" w:sz="0" w:space="0" w:color="auto"/>
      </w:divBdr>
    </w:div>
    <w:div w:id="331295880">
      <w:bodyDiv w:val="1"/>
      <w:marLeft w:val="0"/>
      <w:marRight w:val="0"/>
      <w:marTop w:val="0"/>
      <w:marBottom w:val="0"/>
      <w:divBdr>
        <w:top w:val="none" w:sz="0" w:space="0" w:color="auto"/>
        <w:left w:val="none" w:sz="0" w:space="0" w:color="auto"/>
        <w:bottom w:val="none" w:sz="0" w:space="0" w:color="auto"/>
        <w:right w:val="none" w:sz="0" w:space="0" w:color="auto"/>
      </w:divBdr>
    </w:div>
    <w:div w:id="357514601">
      <w:bodyDiv w:val="1"/>
      <w:marLeft w:val="0"/>
      <w:marRight w:val="0"/>
      <w:marTop w:val="0"/>
      <w:marBottom w:val="0"/>
      <w:divBdr>
        <w:top w:val="none" w:sz="0" w:space="0" w:color="auto"/>
        <w:left w:val="none" w:sz="0" w:space="0" w:color="auto"/>
        <w:bottom w:val="none" w:sz="0" w:space="0" w:color="auto"/>
        <w:right w:val="none" w:sz="0" w:space="0" w:color="auto"/>
      </w:divBdr>
    </w:div>
    <w:div w:id="387805915">
      <w:bodyDiv w:val="1"/>
      <w:marLeft w:val="0"/>
      <w:marRight w:val="0"/>
      <w:marTop w:val="0"/>
      <w:marBottom w:val="0"/>
      <w:divBdr>
        <w:top w:val="none" w:sz="0" w:space="0" w:color="auto"/>
        <w:left w:val="none" w:sz="0" w:space="0" w:color="auto"/>
        <w:bottom w:val="none" w:sz="0" w:space="0" w:color="auto"/>
        <w:right w:val="none" w:sz="0" w:space="0" w:color="auto"/>
      </w:divBdr>
    </w:div>
    <w:div w:id="399444355">
      <w:bodyDiv w:val="1"/>
      <w:marLeft w:val="0"/>
      <w:marRight w:val="0"/>
      <w:marTop w:val="0"/>
      <w:marBottom w:val="0"/>
      <w:divBdr>
        <w:top w:val="none" w:sz="0" w:space="0" w:color="auto"/>
        <w:left w:val="none" w:sz="0" w:space="0" w:color="auto"/>
        <w:bottom w:val="none" w:sz="0" w:space="0" w:color="auto"/>
        <w:right w:val="none" w:sz="0" w:space="0" w:color="auto"/>
      </w:divBdr>
    </w:div>
    <w:div w:id="426731731">
      <w:bodyDiv w:val="1"/>
      <w:marLeft w:val="0"/>
      <w:marRight w:val="0"/>
      <w:marTop w:val="0"/>
      <w:marBottom w:val="0"/>
      <w:divBdr>
        <w:top w:val="none" w:sz="0" w:space="0" w:color="auto"/>
        <w:left w:val="none" w:sz="0" w:space="0" w:color="auto"/>
        <w:bottom w:val="none" w:sz="0" w:space="0" w:color="auto"/>
        <w:right w:val="none" w:sz="0" w:space="0" w:color="auto"/>
      </w:divBdr>
    </w:div>
    <w:div w:id="503858945">
      <w:bodyDiv w:val="1"/>
      <w:marLeft w:val="0"/>
      <w:marRight w:val="0"/>
      <w:marTop w:val="0"/>
      <w:marBottom w:val="0"/>
      <w:divBdr>
        <w:top w:val="none" w:sz="0" w:space="0" w:color="auto"/>
        <w:left w:val="none" w:sz="0" w:space="0" w:color="auto"/>
        <w:bottom w:val="none" w:sz="0" w:space="0" w:color="auto"/>
        <w:right w:val="none" w:sz="0" w:space="0" w:color="auto"/>
      </w:divBdr>
    </w:div>
    <w:div w:id="552622059">
      <w:bodyDiv w:val="1"/>
      <w:marLeft w:val="0"/>
      <w:marRight w:val="0"/>
      <w:marTop w:val="0"/>
      <w:marBottom w:val="0"/>
      <w:divBdr>
        <w:top w:val="none" w:sz="0" w:space="0" w:color="auto"/>
        <w:left w:val="none" w:sz="0" w:space="0" w:color="auto"/>
        <w:bottom w:val="none" w:sz="0" w:space="0" w:color="auto"/>
        <w:right w:val="none" w:sz="0" w:space="0" w:color="auto"/>
      </w:divBdr>
    </w:div>
    <w:div w:id="596905424">
      <w:bodyDiv w:val="1"/>
      <w:marLeft w:val="0"/>
      <w:marRight w:val="0"/>
      <w:marTop w:val="0"/>
      <w:marBottom w:val="0"/>
      <w:divBdr>
        <w:top w:val="none" w:sz="0" w:space="0" w:color="auto"/>
        <w:left w:val="none" w:sz="0" w:space="0" w:color="auto"/>
        <w:bottom w:val="none" w:sz="0" w:space="0" w:color="auto"/>
        <w:right w:val="none" w:sz="0" w:space="0" w:color="auto"/>
      </w:divBdr>
    </w:div>
    <w:div w:id="629243800">
      <w:bodyDiv w:val="1"/>
      <w:marLeft w:val="0"/>
      <w:marRight w:val="0"/>
      <w:marTop w:val="0"/>
      <w:marBottom w:val="0"/>
      <w:divBdr>
        <w:top w:val="none" w:sz="0" w:space="0" w:color="auto"/>
        <w:left w:val="none" w:sz="0" w:space="0" w:color="auto"/>
        <w:bottom w:val="none" w:sz="0" w:space="0" w:color="auto"/>
        <w:right w:val="none" w:sz="0" w:space="0" w:color="auto"/>
      </w:divBdr>
      <w:divsChild>
        <w:div w:id="993993656">
          <w:marLeft w:val="0"/>
          <w:marRight w:val="0"/>
          <w:marTop w:val="83"/>
          <w:marBottom w:val="0"/>
          <w:divBdr>
            <w:top w:val="none" w:sz="0" w:space="0" w:color="auto"/>
            <w:left w:val="none" w:sz="0" w:space="0" w:color="auto"/>
            <w:bottom w:val="none" w:sz="0" w:space="0" w:color="auto"/>
            <w:right w:val="none" w:sz="0" w:space="0" w:color="auto"/>
          </w:divBdr>
        </w:div>
        <w:div w:id="1192568118">
          <w:marLeft w:val="0"/>
          <w:marRight w:val="0"/>
          <w:marTop w:val="83"/>
          <w:marBottom w:val="0"/>
          <w:divBdr>
            <w:top w:val="none" w:sz="0" w:space="0" w:color="auto"/>
            <w:left w:val="none" w:sz="0" w:space="0" w:color="auto"/>
            <w:bottom w:val="none" w:sz="0" w:space="0" w:color="auto"/>
            <w:right w:val="none" w:sz="0" w:space="0" w:color="auto"/>
          </w:divBdr>
          <w:divsChild>
            <w:div w:id="49425870">
              <w:marLeft w:val="0"/>
              <w:marRight w:val="0"/>
              <w:marTop w:val="83"/>
              <w:marBottom w:val="0"/>
              <w:divBdr>
                <w:top w:val="none" w:sz="0" w:space="0" w:color="auto"/>
                <w:left w:val="none" w:sz="0" w:space="0" w:color="auto"/>
                <w:bottom w:val="none" w:sz="0" w:space="0" w:color="auto"/>
                <w:right w:val="none" w:sz="0" w:space="0" w:color="auto"/>
              </w:divBdr>
            </w:div>
            <w:div w:id="279071074">
              <w:marLeft w:val="0"/>
              <w:marRight w:val="0"/>
              <w:marTop w:val="83"/>
              <w:marBottom w:val="0"/>
              <w:divBdr>
                <w:top w:val="none" w:sz="0" w:space="0" w:color="auto"/>
                <w:left w:val="none" w:sz="0" w:space="0" w:color="auto"/>
                <w:bottom w:val="none" w:sz="0" w:space="0" w:color="auto"/>
                <w:right w:val="none" w:sz="0" w:space="0" w:color="auto"/>
              </w:divBdr>
            </w:div>
            <w:div w:id="1340742184">
              <w:marLeft w:val="0"/>
              <w:marRight w:val="0"/>
              <w:marTop w:val="83"/>
              <w:marBottom w:val="0"/>
              <w:divBdr>
                <w:top w:val="none" w:sz="0" w:space="0" w:color="auto"/>
                <w:left w:val="none" w:sz="0" w:space="0" w:color="auto"/>
                <w:bottom w:val="none" w:sz="0" w:space="0" w:color="auto"/>
                <w:right w:val="none" w:sz="0" w:space="0" w:color="auto"/>
              </w:divBdr>
            </w:div>
            <w:div w:id="2026056564">
              <w:marLeft w:val="0"/>
              <w:marRight w:val="0"/>
              <w:marTop w:val="83"/>
              <w:marBottom w:val="0"/>
              <w:divBdr>
                <w:top w:val="none" w:sz="0" w:space="0" w:color="auto"/>
                <w:left w:val="none" w:sz="0" w:space="0" w:color="auto"/>
                <w:bottom w:val="none" w:sz="0" w:space="0" w:color="auto"/>
                <w:right w:val="none" w:sz="0" w:space="0" w:color="auto"/>
              </w:divBdr>
              <w:divsChild>
                <w:div w:id="170725023">
                  <w:marLeft w:val="0"/>
                  <w:marRight w:val="0"/>
                  <w:marTop w:val="83"/>
                  <w:marBottom w:val="0"/>
                  <w:divBdr>
                    <w:top w:val="none" w:sz="0" w:space="0" w:color="auto"/>
                    <w:left w:val="none" w:sz="0" w:space="0" w:color="auto"/>
                    <w:bottom w:val="none" w:sz="0" w:space="0" w:color="auto"/>
                    <w:right w:val="none" w:sz="0" w:space="0" w:color="auto"/>
                  </w:divBdr>
                </w:div>
                <w:div w:id="1414283745">
                  <w:marLeft w:val="0"/>
                  <w:marRight w:val="0"/>
                  <w:marTop w:val="83"/>
                  <w:marBottom w:val="0"/>
                  <w:divBdr>
                    <w:top w:val="none" w:sz="0" w:space="0" w:color="auto"/>
                    <w:left w:val="none" w:sz="0" w:space="0" w:color="auto"/>
                    <w:bottom w:val="none" w:sz="0" w:space="0" w:color="auto"/>
                    <w:right w:val="none" w:sz="0" w:space="0" w:color="auto"/>
                  </w:divBdr>
                  <w:divsChild>
                    <w:div w:id="553934451">
                      <w:marLeft w:val="0"/>
                      <w:marRight w:val="0"/>
                      <w:marTop w:val="83"/>
                      <w:marBottom w:val="0"/>
                      <w:divBdr>
                        <w:top w:val="none" w:sz="0" w:space="0" w:color="auto"/>
                        <w:left w:val="none" w:sz="0" w:space="0" w:color="auto"/>
                        <w:bottom w:val="none" w:sz="0" w:space="0" w:color="auto"/>
                        <w:right w:val="none" w:sz="0" w:space="0" w:color="auto"/>
                      </w:divBdr>
                    </w:div>
                    <w:div w:id="1455517815">
                      <w:marLeft w:val="0"/>
                      <w:marRight w:val="0"/>
                      <w:marTop w:val="83"/>
                      <w:marBottom w:val="0"/>
                      <w:divBdr>
                        <w:top w:val="none" w:sz="0" w:space="0" w:color="auto"/>
                        <w:left w:val="none" w:sz="0" w:space="0" w:color="auto"/>
                        <w:bottom w:val="none" w:sz="0" w:space="0" w:color="auto"/>
                        <w:right w:val="none" w:sz="0" w:space="0" w:color="auto"/>
                      </w:divBdr>
                    </w:div>
                    <w:div w:id="2080440606">
                      <w:marLeft w:val="0"/>
                      <w:marRight w:val="0"/>
                      <w:marTop w:val="83"/>
                      <w:marBottom w:val="0"/>
                      <w:divBdr>
                        <w:top w:val="none" w:sz="0" w:space="0" w:color="auto"/>
                        <w:left w:val="none" w:sz="0" w:space="0" w:color="auto"/>
                        <w:bottom w:val="none" w:sz="0" w:space="0" w:color="auto"/>
                        <w:right w:val="none" w:sz="0" w:space="0" w:color="auto"/>
                      </w:divBdr>
                    </w:div>
                  </w:divsChild>
                </w:div>
                <w:div w:id="2083331501">
                  <w:marLeft w:val="0"/>
                  <w:marRight w:val="0"/>
                  <w:marTop w:val="83"/>
                  <w:marBottom w:val="0"/>
                  <w:divBdr>
                    <w:top w:val="none" w:sz="0" w:space="0" w:color="auto"/>
                    <w:left w:val="none" w:sz="0" w:space="0" w:color="auto"/>
                    <w:bottom w:val="none" w:sz="0" w:space="0" w:color="auto"/>
                    <w:right w:val="none" w:sz="0" w:space="0" w:color="auto"/>
                  </w:divBdr>
                </w:div>
              </w:divsChild>
            </w:div>
          </w:divsChild>
        </w:div>
      </w:divsChild>
    </w:div>
    <w:div w:id="642975171">
      <w:bodyDiv w:val="1"/>
      <w:marLeft w:val="0"/>
      <w:marRight w:val="0"/>
      <w:marTop w:val="0"/>
      <w:marBottom w:val="0"/>
      <w:divBdr>
        <w:top w:val="none" w:sz="0" w:space="0" w:color="auto"/>
        <w:left w:val="none" w:sz="0" w:space="0" w:color="auto"/>
        <w:bottom w:val="none" w:sz="0" w:space="0" w:color="auto"/>
        <w:right w:val="none" w:sz="0" w:space="0" w:color="auto"/>
      </w:divBdr>
    </w:div>
    <w:div w:id="643655022">
      <w:bodyDiv w:val="1"/>
      <w:marLeft w:val="0"/>
      <w:marRight w:val="0"/>
      <w:marTop w:val="0"/>
      <w:marBottom w:val="0"/>
      <w:divBdr>
        <w:top w:val="none" w:sz="0" w:space="0" w:color="auto"/>
        <w:left w:val="none" w:sz="0" w:space="0" w:color="auto"/>
        <w:bottom w:val="none" w:sz="0" w:space="0" w:color="auto"/>
        <w:right w:val="none" w:sz="0" w:space="0" w:color="auto"/>
      </w:divBdr>
    </w:div>
    <w:div w:id="697699942">
      <w:bodyDiv w:val="1"/>
      <w:marLeft w:val="0"/>
      <w:marRight w:val="0"/>
      <w:marTop w:val="0"/>
      <w:marBottom w:val="0"/>
      <w:divBdr>
        <w:top w:val="none" w:sz="0" w:space="0" w:color="auto"/>
        <w:left w:val="none" w:sz="0" w:space="0" w:color="auto"/>
        <w:bottom w:val="none" w:sz="0" w:space="0" w:color="auto"/>
        <w:right w:val="none" w:sz="0" w:space="0" w:color="auto"/>
      </w:divBdr>
    </w:div>
    <w:div w:id="709259546">
      <w:bodyDiv w:val="1"/>
      <w:marLeft w:val="0"/>
      <w:marRight w:val="0"/>
      <w:marTop w:val="0"/>
      <w:marBottom w:val="0"/>
      <w:divBdr>
        <w:top w:val="none" w:sz="0" w:space="0" w:color="auto"/>
        <w:left w:val="none" w:sz="0" w:space="0" w:color="auto"/>
        <w:bottom w:val="none" w:sz="0" w:space="0" w:color="auto"/>
        <w:right w:val="none" w:sz="0" w:space="0" w:color="auto"/>
      </w:divBdr>
    </w:div>
    <w:div w:id="853418991">
      <w:bodyDiv w:val="1"/>
      <w:marLeft w:val="0"/>
      <w:marRight w:val="0"/>
      <w:marTop w:val="0"/>
      <w:marBottom w:val="0"/>
      <w:divBdr>
        <w:top w:val="none" w:sz="0" w:space="0" w:color="auto"/>
        <w:left w:val="none" w:sz="0" w:space="0" w:color="auto"/>
        <w:bottom w:val="none" w:sz="0" w:space="0" w:color="auto"/>
        <w:right w:val="none" w:sz="0" w:space="0" w:color="auto"/>
      </w:divBdr>
    </w:div>
    <w:div w:id="885797506">
      <w:bodyDiv w:val="1"/>
      <w:marLeft w:val="0"/>
      <w:marRight w:val="0"/>
      <w:marTop w:val="0"/>
      <w:marBottom w:val="0"/>
      <w:divBdr>
        <w:top w:val="none" w:sz="0" w:space="0" w:color="auto"/>
        <w:left w:val="none" w:sz="0" w:space="0" w:color="auto"/>
        <w:bottom w:val="none" w:sz="0" w:space="0" w:color="auto"/>
        <w:right w:val="none" w:sz="0" w:space="0" w:color="auto"/>
      </w:divBdr>
    </w:div>
    <w:div w:id="988938955">
      <w:bodyDiv w:val="1"/>
      <w:marLeft w:val="0"/>
      <w:marRight w:val="0"/>
      <w:marTop w:val="0"/>
      <w:marBottom w:val="0"/>
      <w:divBdr>
        <w:top w:val="none" w:sz="0" w:space="0" w:color="auto"/>
        <w:left w:val="none" w:sz="0" w:space="0" w:color="auto"/>
        <w:bottom w:val="none" w:sz="0" w:space="0" w:color="auto"/>
        <w:right w:val="none" w:sz="0" w:space="0" w:color="auto"/>
      </w:divBdr>
      <w:divsChild>
        <w:div w:id="194512700">
          <w:marLeft w:val="1166"/>
          <w:marRight w:val="0"/>
          <w:marTop w:val="0"/>
          <w:marBottom w:val="0"/>
          <w:divBdr>
            <w:top w:val="none" w:sz="0" w:space="0" w:color="auto"/>
            <w:left w:val="none" w:sz="0" w:space="0" w:color="auto"/>
            <w:bottom w:val="none" w:sz="0" w:space="0" w:color="auto"/>
            <w:right w:val="none" w:sz="0" w:space="0" w:color="auto"/>
          </w:divBdr>
        </w:div>
        <w:div w:id="594898011">
          <w:marLeft w:val="547"/>
          <w:marRight w:val="0"/>
          <w:marTop w:val="0"/>
          <w:marBottom w:val="0"/>
          <w:divBdr>
            <w:top w:val="none" w:sz="0" w:space="0" w:color="auto"/>
            <w:left w:val="none" w:sz="0" w:space="0" w:color="auto"/>
            <w:bottom w:val="none" w:sz="0" w:space="0" w:color="auto"/>
            <w:right w:val="none" w:sz="0" w:space="0" w:color="auto"/>
          </w:divBdr>
        </w:div>
        <w:div w:id="601885815">
          <w:marLeft w:val="1166"/>
          <w:marRight w:val="0"/>
          <w:marTop w:val="0"/>
          <w:marBottom w:val="0"/>
          <w:divBdr>
            <w:top w:val="none" w:sz="0" w:space="0" w:color="auto"/>
            <w:left w:val="none" w:sz="0" w:space="0" w:color="auto"/>
            <w:bottom w:val="none" w:sz="0" w:space="0" w:color="auto"/>
            <w:right w:val="none" w:sz="0" w:space="0" w:color="auto"/>
          </w:divBdr>
        </w:div>
        <w:div w:id="630670432">
          <w:marLeft w:val="1166"/>
          <w:marRight w:val="0"/>
          <w:marTop w:val="0"/>
          <w:marBottom w:val="0"/>
          <w:divBdr>
            <w:top w:val="none" w:sz="0" w:space="0" w:color="auto"/>
            <w:left w:val="none" w:sz="0" w:space="0" w:color="auto"/>
            <w:bottom w:val="none" w:sz="0" w:space="0" w:color="auto"/>
            <w:right w:val="none" w:sz="0" w:space="0" w:color="auto"/>
          </w:divBdr>
        </w:div>
        <w:div w:id="720597036">
          <w:marLeft w:val="1166"/>
          <w:marRight w:val="0"/>
          <w:marTop w:val="0"/>
          <w:marBottom w:val="0"/>
          <w:divBdr>
            <w:top w:val="none" w:sz="0" w:space="0" w:color="auto"/>
            <w:left w:val="none" w:sz="0" w:space="0" w:color="auto"/>
            <w:bottom w:val="none" w:sz="0" w:space="0" w:color="auto"/>
            <w:right w:val="none" w:sz="0" w:space="0" w:color="auto"/>
          </w:divBdr>
        </w:div>
        <w:div w:id="925769204">
          <w:marLeft w:val="547"/>
          <w:marRight w:val="0"/>
          <w:marTop w:val="0"/>
          <w:marBottom w:val="0"/>
          <w:divBdr>
            <w:top w:val="none" w:sz="0" w:space="0" w:color="auto"/>
            <w:left w:val="none" w:sz="0" w:space="0" w:color="auto"/>
            <w:bottom w:val="none" w:sz="0" w:space="0" w:color="auto"/>
            <w:right w:val="none" w:sz="0" w:space="0" w:color="auto"/>
          </w:divBdr>
        </w:div>
        <w:div w:id="947813825">
          <w:marLeft w:val="1166"/>
          <w:marRight w:val="0"/>
          <w:marTop w:val="0"/>
          <w:marBottom w:val="0"/>
          <w:divBdr>
            <w:top w:val="none" w:sz="0" w:space="0" w:color="auto"/>
            <w:left w:val="none" w:sz="0" w:space="0" w:color="auto"/>
            <w:bottom w:val="none" w:sz="0" w:space="0" w:color="auto"/>
            <w:right w:val="none" w:sz="0" w:space="0" w:color="auto"/>
          </w:divBdr>
        </w:div>
        <w:div w:id="1106460800">
          <w:marLeft w:val="1166"/>
          <w:marRight w:val="0"/>
          <w:marTop w:val="0"/>
          <w:marBottom w:val="0"/>
          <w:divBdr>
            <w:top w:val="none" w:sz="0" w:space="0" w:color="auto"/>
            <w:left w:val="none" w:sz="0" w:space="0" w:color="auto"/>
            <w:bottom w:val="none" w:sz="0" w:space="0" w:color="auto"/>
            <w:right w:val="none" w:sz="0" w:space="0" w:color="auto"/>
          </w:divBdr>
        </w:div>
        <w:div w:id="1118642822">
          <w:marLeft w:val="1166"/>
          <w:marRight w:val="0"/>
          <w:marTop w:val="0"/>
          <w:marBottom w:val="0"/>
          <w:divBdr>
            <w:top w:val="none" w:sz="0" w:space="0" w:color="auto"/>
            <w:left w:val="none" w:sz="0" w:space="0" w:color="auto"/>
            <w:bottom w:val="none" w:sz="0" w:space="0" w:color="auto"/>
            <w:right w:val="none" w:sz="0" w:space="0" w:color="auto"/>
          </w:divBdr>
        </w:div>
        <w:div w:id="1321084625">
          <w:marLeft w:val="1166"/>
          <w:marRight w:val="0"/>
          <w:marTop w:val="0"/>
          <w:marBottom w:val="0"/>
          <w:divBdr>
            <w:top w:val="none" w:sz="0" w:space="0" w:color="auto"/>
            <w:left w:val="none" w:sz="0" w:space="0" w:color="auto"/>
            <w:bottom w:val="none" w:sz="0" w:space="0" w:color="auto"/>
            <w:right w:val="none" w:sz="0" w:space="0" w:color="auto"/>
          </w:divBdr>
        </w:div>
        <w:div w:id="1468203149">
          <w:marLeft w:val="547"/>
          <w:marRight w:val="0"/>
          <w:marTop w:val="0"/>
          <w:marBottom w:val="0"/>
          <w:divBdr>
            <w:top w:val="none" w:sz="0" w:space="0" w:color="auto"/>
            <w:left w:val="none" w:sz="0" w:space="0" w:color="auto"/>
            <w:bottom w:val="none" w:sz="0" w:space="0" w:color="auto"/>
            <w:right w:val="none" w:sz="0" w:space="0" w:color="auto"/>
          </w:divBdr>
        </w:div>
        <w:div w:id="1722901669">
          <w:marLeft w:val="1166"/>
          <w:marRight w:val="0"/>
          <w:marTop w:val="0"/>
          <w:marBottom w:val="0"/>
          <w:divBdr>
            <w:top w:val="none" w:sz="0" w:space="0" w:color="auto"/>
            <w:left w:val="none" w:sz="0" w:space="0" w:color="auto"/>
            <w:bottom w:val="none" w:sz="0" w:space="0" w:color="auto"/>
            <w:right w:val="none" w:sz="0" w:space="0" w:color="auto"/>
          </w:divBdr>
        </w:div>
        <w:div w:id="1934631385">
          <w:marLeft w:val="547"/>
          <w:marRight w:val="0"/>
          <w:marTop w:val="0"/>
          <w:marBottom w:val="0"/>
          <w:divBdr>
            <w:top w:val="none" w:sz="0" w:space="0" w:color="auto"/>
            <w:left w:val="none" w:sz="0" w:space="0" w:color="auto"/>
            <w:bottom w:val="none" w:sz="0" w:space="0" w:color="auto"/>
            <w:right w:val="none" w:sz="0" w:space="0" w:color="auto"/>
          </w:divBdr>
        </w:div>
      </w:divsChild>
    </w:div>
    <w:div w:id="1052188775">
      <w:bodyDiv w:val="1"/>
      <w:marLeft w:val="0"/>
      <w:marRight w:val="0"/>
      <w:marTop w:val="0"/>
      <w:marBottom w:val="0"/>
      <w:divBdr>
        <w:top w:val="none" w:sz="0" w:space="0" w:color="auto"/>
        <w:left w:val="none" w:sz="0" w:space="0" w:color="auto"/>
        <w:bottom w:val="none" w:sz="0" w:space="0" w:color="auto"/>
        <w:right w:val="none" w:sz="0" w:space="0" w:color="auto"/>
      </w:divBdr>
      <w:divsChild>
        <w:div w:id="72822549">
          <w:marLeft w:val="0"/>
          <w:marRight w:val="0"/>
          <w:marTop w:val="83"/>
          <w:marBottom w:val="0"/>
          <w:divBdr>
            <w:top w:val="none" w:sz="0" w:space="0" w:color="auto"/>
            <w:left w:val="none" w:sz="0" w:space="0" w:color="auto"/>
            <w:bottom w:val="none" w:sz="0" w:space="0" w:color="auto"/>
            <w:right w:val="none" w:sz="0" w:space="0" w:color="auto"/>
          </w:divBdr>
          <w:divsChild>
            <w:div w:id="412166853">
              <w:marLeft w:val="0"/>
              <w:marRight w:val="0"/>
              <w:marTop w:val="83"/>
              <w:marBottom w:val="0"/>
              <w:divBdr>
                <w:top w:val="none" w:sz="0" w:space="0" w:color="auto"/>
                <w:left w:val="none" w:sz="0" w:space="0" w:color="auto"/>
                <w:bottom w:val="none" w:sz="0" w:space="0" w:color="auto"/>
                <w:right w:val="none" w:sz="0" w:space="0" w:color="auto"/>
              </w:divBdr>
              <w:divsChild>
                <w:div w:id="801072168">
                  <w:marLeft w:val="0"/>
                  <w:marRight w:val="0"/>
                  <w:marTop w:val="83"/>
                  <w:marBottom w:val="0"/>
                  <w:divBdr>
                    <w:top w:val="none" w:sz="0" w:space="0" w:color="auto"/>
                    <w:left w:val="none" w:sz="0" w:space="0" w:color="auto"/>
                    <w:bottom w:val="none" w:sz="0" w:space="0" w:color="auto"/>
                    <w:right w:val="none" w:sz="0" w:space="0" w:color="auto"/>
                  </w:divBdr>
                  <w:divsChild>
                    <w:div w:id="3870720">
                      <w:marLeft w:val="0"/>
                      <w:marRight w:val="0"/>
                      <w:marTop w:val="83"/>
                      <w:marBottom w:val="0"/>
                      <w:divBdr>
                        <w:top w:val="none" w:sz="0" w:space="0" w:color="auto"/>
                        <w:left w:val="none" w:sz="0" w:space="0" w:color="auto"/>
                        <w:bottom w:val="none" w:sz="0" w:space="0" w:color="auto"/>
                        <w:right w:val="none" w:sz="0" w:space="0" w:color="auto"/>
                      </w:divBdr>
                    </w:div>
                    <w:div w:id="673456574">
                      <w:marLeft w:val="0"/>
                      <w:marRight w:val="0"/>
                      <w:marTop w:val="83"/>
                      <w:marBottom w:val="0"/>
                      <w:divBdr>
                        <w:top w:val="none" w:sz="0" w:space="0" w:color="auto"/>
                        <w:left w:val="none" w:sz="0" w:space="0" w:color="auto"/>
                        <w:bottom w:val="none" w:sz="0" w:space="0" w:color="auto"/>
                        <w:right w:val="none" w:sz="0" w:space="0" w:color="auto"/>
                      </w:divBdr>
                    </w:div>
                    <w:div w:id="1250116434">
                      <w:marLeft w:val="0"/>
                      <w:marRight w:val="0"/>
                      <w:marTop w:val="83"/>
                      <w:marBottom w:val="0"/>
                      <w:divBdr>
                        <w:top w:val="none" w:sz="0" w:space="0" w:color="auto"/>
                        <w:left w:val="none" w:sz="0" w:space="0" w:color="auto"/>
                        <w:bottom w:val="none" w:sz="0" w:space="0" w:color="auto"/>
                        <w:right w:val="none" w:sz="0" w:space="0" w:color="auto"/>
                      </w:divBdr>
                    </w:div>
                  </w:divsChild>
                </w:div>
                <w:div w:id="1121339658">
                  <w:marLeft w:val="0"/>
                  <w:marRight w:val="0"/>
                  <w:marTop w:val="83"/>
                  <w:marBottom w:val="0"/>
                  <w:divBdr>
                    <w:top w:val="none" w:sz="0" w:space="0" w:color="auto"/>
                    <w:left w:val="none" w:sz="0" w:space="0" w:color="auto"/>
                    <w:bottom w:val="none" w:sz="0" w:space="0" w:color="auto"/>
                    <w:right w:val="none" w:sz="0" w:space="0" w:color="auto"/>
                  </w:divBdr>
                </w:div>
                <w:div w:id="1852721379">
                  <w:marLeft w:val="0"/>
                  <w:marRight w:val="0"/>
                  <w:marTop w:val="83"/>
                  <w:marBottom w:val="0"/>
                  <w:divBdr>
                    <w:top w:val="none" w:sz="0" w:space="0" w:color="auto"/>
                    <w:left w:val="none" w:sz="0" w:space="0" w:color="auto"/>
                    <w:bottom w:val="none" w:sz="0" w:space="0" w:color="auto"/>
                    <w:right w:val="none" w:sz="0" w:space="0" w:color="auto"/>
                  </w:divBdr>
                </w:div>
              </w:divsChild>
            </w:div>
            <w:div w:id="604271475">
              <w:marLeft w:val="0"/>
              <w:marRight w:val="0"/>
              <w:marTop w:val="83"/>
              <w:marBottom w:val="0"/>
              <w:divBdr>
                <w:top w:val="none" w:sz="0" w:space="0" w:color="auto"/>
                <w:left w:val="none" w:sz="0" w:space="0" w:color="auto"/>
                <w:bottom w:val="none" w:sz="0" w:space="0" w:color="auto"/>
                <w:right w:val="none" w:sz="0" w:space="0" w:color="auto"/>
              </w:divBdr>
            </w:div>
            <w:div w:id="858810610">
              <w:marLeft w:val="0"/>
              <w:marRight w:val="0"/>
              <w:marTop w:val="83"/>
              <w:marBottom w:val="0"/>
              <w:divBdr>
                <w:top w:val="none" w:sz="0" w:space="0" w:color="auto"/>
                <w:left w:val="none" w:sz="0" w:space="0" w:color="auto"/>
                <w:bottom w:val="none" w:sz="0" w:space="0" w:color="auto"/>
                <w:right w:val="none" w:sz="0" w:space="0" w:color="auto"/>
              </w:divBdr>
            </w:div>
            <w:div w:id="1538396461">
              <w:marLeft w:val="0"/>
              <w:marRight w:val="0"/>
              <w:marTop w:val="83"/>
              <w:marBottom w:val="0"/>
              <w:divBdr>
                <w:top w:val="none" w:sz="0" w:space="0" w:color="auto"/>
                <w:left w:val="none" w:sz="0" w:space="0" w:color="auto"/>
                <w:bottom w:val="none" w:sz="0" w:space="0" w:color="auto"/>
                <w:right w:val="none" w:sz="0" w:space="0" w:color="auto"/>
              </w:divBdr>
            </w:div>
          </w:divsChild>
        </w:div>
        <w:div w:id="1529028307">
          <w:marLeft w:val="0"/>
          <w:marRight w:val="0"/>
          <w:marTop w:val="83"/>
          <w:marBottom w:val="0"/>
          <w:divBdr>
            <w:top w:val="none" w:sz="0" w:space="0" w:color="auto"/>
            <w:left w:val="none" w:sz="0" w:space="0" w:color="auto"/>
            <w:bottom w:val="none" w:sz="0" w:space="0" w:color="auto"/>
            <w:right w:val="none" w:sz="0" w:space="0" w:color="auto"/>
          </w:divBdr>
        </w:div>
      </w:divsChild>
    </w:div>
    <w:div w:id="1079983258">
      <w:bodyDiv w:val="1"/>
      <w:marLeft w:val="0"/>
      <w:marRight w:val="0"/>
      <w:marTop w:val="0"/>
      <w:marBottom w:val="0"/>
      <w:divBdr>
        <w:top w:val="none" w:sz="0" w:space="0" w:color="auto"/>
        <w:left w:val="none" w:sz="0" w:space="0" w:color="auto"/>
        <w:bottom w:val="none" w:sz="0" w:space="0" w:color="auto"/>
        <w:right w:val="none" w:sz="0" w:space="0" w:color="auto"/>
      </w:divBdr>
    </w:div>
    <w:div w:id="1095589833">
      <w:bodyDiv w:val="1"/>
      <w:marLeft w:val="0"/>
      <w:marRight w:val="0"/>
      <w:marTop w:val="0"/>
      <w:marBottom w:val="0"/>
      <w:divBdr>
        <w:top w:val="none" w:sz="0" w:space="0" w:color="auto"/>
        <w:left w:val="none" w:sz="0" w:space="0" w:color="auto"/>
        <w:bottom w:val="none" w:sz="0" w:space="0" w:color="auto"/>
        <w:right w:val="none" w:sz="0" w:space="0" w:color="auto"/>
      </w:divBdr>
    </w:div>
    <w:div w:id="1126849010">
      <w:bodyDiv w:val="1"/>
      <w:marLeft w:val="0"/>
      <w:marRight w:val="0"/>
      <w:marTop w:val="0"/>
      <w:marBottom w:val="0"/>
      <w:divBdr>
        <w:top w:val="none" w:sz="0" w:space="0" w:color="auto"/>
        <w:left w:val="none" w:sz="0" w:space="0" w:color="auto"/>
        <w:bottom w:val="none" w:sz="0" w:space="0" w:color="auto"/>
        <w:right w:val="none" w:sz="0" w:space="0" w:color="auto"/>
      </w:divBdr>
      <w:divsChild>
        <w:div w:id="460922307">
          <w:marLeft w:val="547"/>
          <w:marRight w:val="0"/>
          <w:marTop w:val="0"/>
          <w:marBottom w:val="0"/>
          <w:divBdr>
            <w:top w:val="none" w:sz="0" w:space="0" w:color="auto"/>
            <w:left w:val="none" w:sz="0" w:space="0" w:color="auto"/>
            <w:bottom w:val="none" w:sz="0" w:space="0" w:color="auto"/>
            <w:right w:val="none" w:sz="0" w:space="0" w:color="auto"/>
          </w:divBdr>
        </w:div>
      </w:divsChild>
    </w:div>
    <w:div w:id="1140269296">
      <w:bodyDiv w:val="1"/>
      <w:marLeft w:val="0"/>
      <w:marRight w:val="0"/>
      <w:marTop w:val="0"/>
      <w:marBottom w:val="0"/>
      <w:divBdr>
        <w:top w:val="none" w:sz="0" w:space="0" w:color="auto"/>
        <w:left w:val="none" w:sz="0" w:space="0" w:color="auto"/>
        <w:bottom w:val="none" w:sz="0" w:space="0" w:color="auto"/>
        <w:right w:val="none" w:sz="0" w:space="0" w:color="auto"/>
      </w:divBdr>
    </w:div>
    <w:div w:id="1186673008">
      <w:bodyDiv w:val="1"/>
      <w:marLeft w:val="0"/>
      <w:marRight w:val="0"/>
      <w:marTop w:val="0"/>
      <w:marBottom w:val="0"/>
      <w:divBdr>
        <w:top w:val="none" w:sz="0" w:space="0" w:color="auto"/>
        <w:left w:val="none" w:sz="0" w:space="0" w:color="auto"/>
        <w:bottom w:val="none" w:sz="0" w:space="0" w:color="auto"/>
        <w:right w:val="none" w:sz="0" w:space="0" w:color="auto"/>
      </w:divBdr>
    </w:div>
    <w:div w:id="1203908661">
      <w:bodyDiv w:val="1"/>
      <w:marLeft w:val="0"/>
      <w:marRight w:val="0"/>
      <w:marTop w:val="0"/>
      <w:marBottom w:val="0"/>
      <w:divBdr>
        <w:top w:val="none" w:sz="0" w:space="0" w:color="auto"/>
        <w:left w:val="none" w:sz="0" w:space="0" w:color="auto"/>
        <w:bottom w:val="none" w:sz="0" w:space="0" w:color="auto"/>
        <w:right w:val="none" w:sz="0" w:space="0" w:color="auto"/>
      </w:divBdr>
    </w:div>
    <w:div w:id="1317883823">
      <w:bodyDiv w:val="1"/>
      <w:marLeft w:val="0"/>
      <w:marRight w:val="0"/>
      <w:marTop w:val="0"/>
      <w:marBottom w:val="0"/>
      <w:divBdr>
        <w:top w:val="none" w:sz="0" w:space="0" w:color="auto"/>
        <w:left w:val="none" w:sz="0" w:space="0" w:color="auto"/>
        <w:bottom w:val="none" w:sz="0" w:space="0" w:color="auto"/>
        <w:right w:val="none" w:sz="0" w:space="0" w:color="auto"/>
      </w:divBdr>
    </w:div>
    <w:div w:id="1455445877">
      <w:bodyDiv w:val="1"/>
      <w:marLeft w:val="0"/>
      <w:marRight w:val="0"/>
      <w:marTop w:val="0"/>
      <w:marBottom w:val="0"/>
      <w:divBdr>
        <w:top w:val="none" w:sz="0" w:space="0" w:color="auto"/>
        <w:left w:val="none" w:sz="0" w:space="0" w:color="auto"/>
        <w:bottom w:val="none" w:sz="0" w:space="0" w:color="auto"/>
        <w:right w:val="none" w:sz="0" w:space="0" w:color="auto"/>
      </w:divBdr>
    </w:div>
    <w:div w:id="1457528197">
      <w:bodyDiv w:val="1"/>
      <w:marLeft w:val="0"/>
      <w:marRight w:val="0"/>
      <w:marTop w:val="0"/>
      <w:marBottom w:val="0"/>
      <w:divBdr>
        <w:top w:val="none" w:sz="0" w:space="0" w:color="auto"/>
        <w:left w:val="none" w:sz="0" w:space="0" w:color="auto"/>
        <w:bottom w:val="none" w:sz="0" w:space="0" w:color="auto"/>
        <w:right w:val="none" w:sz="0" w:space="0" w:color="auto"/>
      </w:divBdr>
      <w:divsChild>
        <w:div w:id="112480400">
          <w:marLeft w:val="547"/>
          <w:marRight w:val="0"/>
          <w:marTop w:val="0"/>
          <w:marBottom w:val="0"/>
          <w:divBdr>
            <w:top w:val="none" w:sz="0" w:space="0" w:color="auto"/>
            <w:left w:val="none" w:sz="0" w:space="0" w:color="auto"/>
            <w:bottom w:val="none" w:sz="0" w:space="0" w:color="auto"/>
            <w:right w:val="none" w:sz="0" w:space="0" w:color="auto"/>
          </w:divBdr>
        </w:div>
      </w:divsChild>
    </w:div>
    <w:div w:id="1502619679">
      <w:bodyDiv w:val="1"/>
      <w:marLeft w:val="0"/>
      <w:marRight w:val="0"/>
      <w:marTop w:val="0"/>
      <w:marBottom w:val="0"/>
      <w:divBdr>
        <w:top w:val="none" w:sz="0" w:space="0" w:color="auto"/>
        <w:left w:val="none" w:sz="0" w:space="0" w:color="auto"/>
        <w:bottom w:val="none" w:sz="0" w:space="0" w:color="auto"/>
        <w:right w:val="none" w:sz="0" w:space="0" w:color="auto"/>
      </w:divBdr>
    </w:div>
    <w:div w:id="1572421979">
      <w:bodyDiv w:val="1"/>
      <w:marLeft w:val="0"/>
      <w:marRight w:val="0"/>
      <w:marTop w:val="0"/>
      <w:marBottom w:val="0"/>
      <w:divBdr>
        <w:top w:val="none" w:sz="0" w:space="0" w:color="auto"/>
        <w:left w:val="none" w:sz="0" w:space="0" w:color="auto"/>
        <w:bottom w:val="none" w:sz="0" w:space="0" w:color="auto"/>
        <w:right w:val="none" w:sz="0" w:space="0" w:color="auto"/>
      </w:divBdr>
    </w:div>
    <w:div w:id="1573854324">
      <w:bodyDiv w:val="1"/>
      <w:marLeft w:val="0"/>
      <w:marRight w:val="0"/>
      <w:marTop w:val="0"/>
      <w:marBottom w:val="0"/>
      <w:divBdr>
        <w:top w:val="none" w:sz="0" w:space="0" w:color="auto"/>
        <w:left w:val="none" w:sz="0" w:space="0" w:color="auto"/>
        <w:bottom w:val="none" w:sz="0" w:space="0" w:color="auto"/>
        <w:right w:val="none" w:sz="0" w:space="0" w:color="auto"/>
      </w:divBdr>
    </w:div>
    <w:div w:id="1574706661">
      <w:bodyDiv w:val="1"/>
      <w:marLeft w:val="0"/>
      <w:marRight w:val="0"/>
      <w:marTop w:val="0"/>
      <w:marBottom w:val="0"/>
      <w:divBdr>
        <w:top w:val="none" w:sz="0" w:space="0" w:color="auto"/>
        <w:left w:val="none" w:sz="0" w:space="0" w:color="auto"/>
        <w:bottom w:val="none" w:sz="0" w:space="0" w:color="auto"/>
        <w:right w:val="none" w:sz="0" w:space="0" w:color="auto"/>
      </w:divBdr>
    </w:div>
    <w:div w:id="1664510032">
      <w:bodyDiv w:val="1"/>
      <w:marLeft w:val="0"/>
      <w:marRight w:val="0"/>
      <w:marTop w:val="0"/>
      <w:marBottom w:val="0"/>
      <w:divBdr>
        <w:top w:val="none" w:sz="0" w:space="0" w:color="auto"/>
        <w:left w:val="none" w:sz="0" w:space="0" w:color="auto"/>
        <w:bottom w:val="none" w:sz="0" w:space="0" w:color="auto"/>
        <w:right w:val="none" w:sz="0" w:space="0" w:color="auto"/>
      </w:divBdr>
    </w:div>
    <w:div w:id="1684018552">
      <w:bodyDiv w:val="1"/>
      <w:marLeft w:val="0"/>
      <w:marRight w:val="0"/>
      <w:marTop w:val="0"/>
      <w:marBottom w:val="0"/>
      <w:divBdr>
        <w:top w:val="none" w:sz="0" w:space="0" w:color="auto"/>
        <w:left w:val="none" w:sz="0" w:space="0" w:color="auto"/>
        <w:bottom w:val="none" w:sz="0" w:space="0" w:color="auto"/>
        <w:right w:val="none" w:sz="0" w:space="0" w:color="auto"/>
      </w:divBdr>
    </w:div>
    <w:div w:id="1745447451">
      <w:bodyDiv w:val="1"/>
      <w:marLeft w:val="0"/>
      <w:marRight w:val="0"/>
      <w:marTop w:val="0"/>
      <w:marBottom w:val="0"/>
      <w:divBdr>
        <w:top w:val="none" w:sz="0" w:space="0" w:color="auto"/>
        <w:left w:val="none" w:sz="0" w:space="0" w:color="auto"/>
        <w:bottom w:val="none" w:sz="0" w:space="0" w:color="auto"/>
        <w:right w:val="none" w:sz="0" w:space="0" w:color="auto"/>
      </w:divBdr>
    </w:div>
    <w:div w:id="1776444393">
      <w:bodyDiv w:val="1"/>
      <w:marLeft w:val="0"/>
      <w:marRight w:val="0"/>
      <w:marTop w:val="0"/>
      <w:marBottom w:val="0"/>
      <w:divBdr>
        <w:top w:val="none" w:sz="0" w:space="0" w:color="auto"/>
        <w:left w:val="none" w:sz="0" w:space="0" w:color="auto"/>
        <w:bottom w:val="none" w:sz="0" w:space="0" w:color="auto"/>
        <w:right w:val="none" w:sz="0" w:space="0" w:color="auto"/>
      </w:divBdr>
    </w:div>
    <w:div w:id="1804495742">
      <w:bodyDiv w:val="1"/>
      <w:marLeft w:val="0"/>
      <w:marRight w:val="0"/>
      <w:marTop w:val="0"/>
      <w:marBottom w:val="0"/>
      <w:divBdr>
        <w:top w:val="none" w:sz="0" w:space="0" w:color="auto"/>
        <w:left w:val="none" w:sz="0" w:space="0" w:color="auto"/>
        <w:bottom w:val="none" w:sz="0" w:space="0" w:color="auto"/>
        <w:right w:val="none" w:sz="0" w:space="0" w:color="auto"/>
      </w:divBdr>
      <w:divsChild>
        <w:div w:id="520239431">
          <w:marLeft w:val="547"/>
          <w:marRight w:val="0"/>
          <w:marTop w:val="0"/>
          <w:marBottom w:val="0"/>
          <w:divBdr>
            <w:top w:val="none" w:sz="0" w:space="0" w:color="auto"/>
            <w:left w:val="none" w:sz="0" w:space="0" w:color="auto"/>
            <w:bottom w:val="none" w:sz="0" w:space="0" w:color="auto"/>
            <w:right w:val="none" w:sz="0" w:space="0" w:color="auto"/>
          </w:divBdr>
        </w:div>
      </w:divsChild>
    </w:div>
    <w:div w:id="1816213265">
      <w:bodyDiv w:val="1"/>
      <w:marLeft w:val="0"/>
      <w:marRight w:val="0"/>
      <w:marTop w:val="0"/>
      <w:marBottom w:val="0"/>
      <w:divBdr>
        <w:top w:val="none" w:sz="0" w:space="0" w:color="auto"/>
        <w:left w:val="none" w:sz="0" w:space="0" w:color="auto"/>
        <w:bottom w:val="none" w:sz="0" w:space="0" w:color="auto"/>
        <w:right w:val="none" w:sz="0" w:space="0" w:color="auto"/>
      </w:divBdr>
    </w:div>
    <w:div w:id="1859813333">
      <w:bodyDiv w:val="1"/>
      <w:marLeft w:val="0"/>
      <w:marRight w:val="0"/>
      <w:marTop w:val="0"/>
      <w:marBottom w:val="0"/>
      <w:divBdr>
        <w:top w:val="none" w:sz="0" w:space="0" w:color="auto"/>
        <w:left w:val="none" w:sz="0" w:space="0" w:color="auto"/>
        <w:bottom w:val="none" w:sz="0" w:space="0" w:color="auto"/>
        <w:right w:val="none" w:sz="0" w:space="0" w:color="auto"/>
      </w:divBdr>
    </w:div>
    <w:div w:id="1930577624">
      <w:bodyDiv w:val="1"/>
      <w:marLeft w:val="0"/>
      <w:marRight w:val="0"/>
      <w:marTop w:val="0"/>
      <w:marBottom w:val="0"/>
      <w:divBdr>
        <w:top w:val="none" w:sz="0" w:space="0" w:color="auto"/>
        <w:left w:val="none" w:sz="0" w:space="0" w:color="auto"/>
        <w:bottom w:val="none" w:sz="0" w:space="0" w:color="auto"/>
        <w:right w:val="none" w:sz="0" w:space="0" w:color="auto"/>
      </w:divBdr>
    </w:div>
    <w:div w:id="1977828415">
      <w:bodyDiv w:val="1"/>
      <w:marLeft w:val="0"/>
      <w:marRight w:val="0"/>
      <w:marTop w:val="0"/>
      <w:marBottom w:val="0"/>
      <w:divBdr>
        <w:top w:val="none" w:sz="0" w:space="0" w:color="auto"/>
        <w:left w:val="none" w:sz="0" w:space="0" w:color="auto"/>
        <w:bottom w:val="none" w:sz="0" w:space="0" w:color="auto"/>
        <w:right w:val="none" w:sz="0" w:space="0" w:color="auto"/>
      </w:divBdr>
    </w:div>
    <w:div w:id="2077775042">
      <w:bodyDiv w:val="1"/>
      <w:marLeft w:val="0"/>
      <w:marRight w:val="0"/>
      <w:marTop w:val="0"/>
      <w:marBottom w:val="0"/>
      <w:divBdr>
        <w:top w:val="none" w:sz="0" w:space="0" w:color="auto"/>
        <w:left w:val="none" w:sz="0" w:space="0" w:color="auto"/>
        <w:bottom w:val="none" w:sz="0" w:space="0" w:color="auto"/>
        <w:right w:val="none" w:sz="0" w:space="0" w:color="auto"/>
      </w:divBdr>
      <w:divsChild>
        <w:div w:id="1608808640">
          <w:marLeft w:val="547"/>
          <w:marRight w:val="0"/>
          <w:marTop w:val="0"/>
          <w:marBottom w:val="0"/>
          <w:divBdr>
            <w:top w:val="none" w:sz="0" w:space="0" w:color="auto"/>
            <w:left w:val="none" w:sz="0" w:space="0" w:color="auto"/>
            <w:bottom w:val="none" w:sz="0" w:space="0" w:color="auto"/>
            <w:right w:val="none" w:sz="0" w:space="0" w:color="auto"/>
          </w:divBdr>
        </w:div>
      </w:divsChild>
    </w:div>
    <w:div w:id="2101834596">
      <w:bodyDiv w:val="1"/>
      <w:marLeft w:val="0"/>
      <w:marRight w:val="0"/>
      <w:marTop w:val="0"/>
      <w:marBottom w:val="0"/>
      <w:divBdr>
        <w:top w:val="none" w:sz="0" w:space="0" w:color="auto"/>
        <w:left w:val="none" w:sz="0" w:space="0" w:color="auto"/>
        <w:bottom w:val="none" w:sz="0" w:space="0" w:color="auto"/>
        <w:right w:val="none" w:sz="0" w:space="0" w:color="auto"/>
      </w:divBdr>
    </w:div>
    <w:div w:id="212318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microsoft.com/office/2007/relationships/diagramDrawing" Target="diagrams/drawing1.xml"/><Relationship Id="rId26" Type="http://schemas.openxmlformats.org/officeDocument/2006/relationships/diagramQuickStyle" Target="diagrams/quickStyle3.xml"/><Relationship Id="rId39" Type="http://schemas.openxmlformats.org/officeDocument/2006/relationships/diagramColors" Target="diagrams/colors5.xml"/><Relationship Id="rId21" Type="http://schemas.openxmlformats.org/officeDocument/2006/relationships/diagramQuickStyle" Target="diagrams/quickStyle2.xml"/><Relationship Id="rId34" Type="http://schemas.openxmlformats.org/officeDocument/2006/relationships/diagramColors" Target="diagrams/colors4.xm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diagramData" Target="diagrams/data3.xml"/><Relationship Id="rId32" Type="http://schemas.openxmlformats.org/officeDocument/2006/relationships/diagramLayout" Target="diagrams/layout4.xml"/><Relationship Id="rId37" Type="http://schemas.openxmlformats.org/officeDocument/2006/relationships/diagramLayout" Target="diagrams/layout5.xml"/><Relationship Id="rId40" Type="http://schemas.microsoft.com/office/2007/relationships/diagramDrawing" Target="diagrams/drawing5.xml"/><Relationship Id="rId45"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diagramData" Target="diagrams/data5.xml"/><Relationship Id="rId10" Type="http://schemas.openxmlformats.org/officeDocument/2006/relationships/webSettings" Target="webSettings.xml"/><Relationship Id="rId19" Type="http://schemas.openxmlformats.org/officeDocument/2006/relationships/diagramData" Target="diagrams/data2.xml"/><Relationship Id="rId31" Type="http://schemas.openxmlformats.org/officeDocument/2006/relationships/diagramData" Target="diagrams/data4.xm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image" Target="media/image2.png"/><Relationship Id="rId35" Type="http://schemas.microsoft.com/office/2007/relationships/diagramDrawing" Target="diagrams/drawing4.xml"/><Relationship Id="rId43" Type="http://schemas.openxmlformats.org/officeDocument/2006/relationships/footer" Target="footer2.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diagramColors" Target="diagrams/colors1.xml"/><Relationship Id="rId25" Type="http://schemas.openxmlformats.org/officeDocument/2006/relationships/diagramLayout" Target="diagrams/layout3.xml"/><Relationship Id="rId33" Type="http://schemas.openxmlformats.org/officeDocument/2006/relationships/diagramQuickStyle" Target="diagrams/quickStyle4.xml"/><Relationship Id="rId38" Type="http://schemas.openxmlformats.org/officeDocument/2006/relationships/diagramQuickStyle" Target="diagrams/quickStyle5.xml"/><Relationship Id="rId46" Type="http://schemas.openxmlformats.org/officeDocument/2006/relationships/fontTable" Target="fontTable.xml"/><Relationship Id="rId20" Type="http://schemas.openxmlformats.org/officeDocument/2006/relationships/diagramLayout" Target="diagrams/layout2.xml"/><Relationship Id="rId41"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s://www.naturalhazards.govt.nz/our-publications/funding-and-risk-management-statement-2024-20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hainey002\Earthquake%20Commission%20(EQC)\Controlled%20Documents%20-%20Templates\NHC.Report-2025.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eqcnz.sharepoint.com/sites/DMSFincMgt/Strategy/Risk%20Financing/Risk%20Financing%20Strategy%202025-30/NHC%20Toka%20T&#363;%20Ake&#8217;s%20risk%20transfer%20programme%20growth%20over%20the%20year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mn-lt"/>
                <a:ea typeface="+mn-ea"/>
                <a:cs typeface="+mn-cs"/>
              </a:defRPr>
            </a:pPr>
            <a:r>
              <a:rPr lang="en-NZ" sz="1200" b="0" i="0" u="none" strike="noStrike" kern="1200" spc="0" baseline="0">
                <a:solidFill>
                  <a:srgbClr val="000000">
                    <a:lumMod val="65000"/>
                    <a:lumOff val="35000"/>
                  </a:srgbClr>
                </a:solidFill>
              </a:rPr>
              <a:t>Historical Reinsurance Programme Attachment and Exhaustion Points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1"/>
          <c:order val="0"/>
          <c:tx>
            <c:strRef>
              <c:f>Sheet2!$C$2</c:f>
              <c:strCache>
                <c:ptCount val="1"/>
                <c:pt idx="0">
                  <c:v>FGU Limit (LHS)</c:v>
                </c:pt>
              </c:strCache>
            </c:strRef>
          </c:tx>
          <c:spPr>
            <a:solidFill>
              <a:schemeClr val="accent2"/>
            </a:solidFill>
            <a:ln>
              <a:noFill/>
            </a:ln>
            <a:effectLst/>
          </c:spPr>
          <c:invertIfNegative val="0"/>
          <c:cat>
            <c:numRef>
              <c:f>Sheet2!$B$3:$B$16</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Sheet2!$C$3:$C$16</c:f>
              <c:numCache>
                <c:formatCode>0</c:formatCode>
                <c:ptCount val="14"/>
                <c:pt idx="0">
                  <c:v>5000000000</c:v>
                </c:pt>
                <c:pt idx="1">
                  <c:v>5000000000</c:v>
                </c:pt>
                <c:pt idx="2">
                  <c:v>6250000000</c:v>
                </c:pt>
                <c:pt idx="3">
                  <c:v>6250000000</c:v>
                </c:pt>
                <c:pt idx="4">
                  <c:v>6250000000</c:v>
                </c:pt>
                <c:pt idx="5">
                  <c:v>6250000000</c:v>
                </c:pt>
                <c:pt idx="6">
                  <c:v>6650000000</c:v>
                </c:pt>
                <c:pt idx="7">
                  <c:v>7750000000</c:v>
                </c:pt>
                <c:pt idx="8">
                  <c:v>7750000000</c:v>
                </c:pt>
                <c:pt idx="9">
                  <c:v>8500000000</c:v>
                </c:pt>
                <c:pt idx="10">
                  <c:v>9250000000</c:v>
                </c:pt>
                <c:pt idx="11">
                  <c:v>11000000000</c:v>
                </c:pt>
                <c:pt idx="12">
                  <c:v>11150000000</c:v>
                </c:pt>
                <c:pt idx="13">
                  <c:v>12400000000</c:v>
                </c:pt>
              </c:numCache>
            </c:numRef>
          </c:val>
          <c:extLst>
            <c:ext xmlns:c16="http://schemas.microsoft.com/office/drawing/2014/chart" uri="{C3380CC4-5D6E-409C-BE32-E72D297353CC}">
              <c16:uniqueId val="{00000000-9C22-486E-83FD-86E18794F052}"/>
            </c:ext>
          </c:extLst>
        </c:ser>
        <c:ser>
          <c:idx val="2"/>
          <c:order val="1"/>
          <c:tx>
            <c:strRef>
              <c:f>Sheet2!$D$2</c:f>
              <c:strCache>
                <c:ptCount val="1"/>
                <c:pt idx="0">
                  <c:v>Signed Capacity (LHS) </c:v>
                </c:pt>
              </c:strCache>
            </c:strRef>
          </c:tx>
          <c:spPr>
            <a:solidFill>
              <a:schemeClr val="accent3"/>
            </a:solidFill>
            <a:ln>
              <a:noFill/>
            </a:ln>
            <a:effectLst/>
          </c:spPr>
          <c:invertIfNegative val="0"/>
          <c:cat>
            <c:numRef>
              <c:f>Sheet2!$B$3:$B$16</c:f>
              <c:numCache>
                <c:formatCode>General</c:formatCode>
                <c:ptCount val="14"/>
                <c:pt idx="0">
                  <c:v>2012</c:v>
                </c:pt>
                <c:pt idx="1">
                  <c:v>2013</c:v>
                </c:pt>
                <c:pt idx="2">
                  <c:v>2014</c:v>
                </c:pt>
                <c:pt idx="3">
                  <c:v>2015</c:v>
                </c:pt>
                <c:pt idx="4">
                  <c:v>2016</c:v>
                </c:pt>
                <c:pt idx="5">
                  <c:v>2017</c:v>
                </c:pt>
                <c:pt idx="6">
                  <c:v>2018</c:v>
                </c:pt>
                <c:pt idx="7">
                  <c:v>2019</c:v>
                </c:pt>
                <c:pt idx="8">
                  <c:v>2020</c:v>
                </c:pt>
                <c:pt idx="9">
                  <c:v>2021</c:v>
                </c:pt>
                <c:pt idx="10">
                  <c:v>2022</c:v>
                </c:pt>
                <c:pt idx="11">
                  <c:v>2023</c:v>
                </c:pt>
                <c:pt idx="12">
                  <c:v>2024</c:v>
                </c:pt>
                <c:pt idx="13">
                  <c:v>2025</c:v>
                </c:pt>
              </c:numCache>
            </c:numRef>
          </c:cat>
          <c:val>
            <c:numRef>
              <c:f>Sheet2!$D$3:$D$16</c:f>
              <c:numCache>
                <c:formatCode>0</c:formatCode>
                <c:ptCount val="14"/>
                <c:pt idx="0">
                  <c:v>3112556000</c:v>
                </c:pt>
                <c:pt idx="1">
                  <c:v>3250000000</c:v>
                </c:pt>
                <c:pt idx="2">
                  <c:v>3862500000</c:v>
                </c:pt>
                <c:pt idx="3">
                  <c:v>4196062500</c:v>
                </c:pt>
                <c:pt idx="4">
                  <c:v>4062500000</c:v>
                </c:pt>
                <c:pt idx="5">
                  <c:v>4202500000</c:v>
                </c:pt>
                <c:pt idx="6">
                  <c:v>4900000000</c:v>
                </c:pt>
                <c:pt idx="7">
                  <c:v>6000000000</c:v>
                </c:pt>
                <c:pt idx="8">
                  <c:v>6000000000</c:v>
                </c:pt>
                <c:pt idx="9">
                  <c:v>6750000000</c:v>
                </c:pt>
                <c:pt idx="10">
                  <c:v>7217600000</c:v>
                </c:pt>
                <c:pt idx="11">
                  <c:v>7589580000</c:v>
                </c:pt>
                <c:pt idx="12">
                  <c:v>8500000000</c:v>
                </c:pt>
                <c:pt idx="13">
                  <c:v>9650000000</c:v>
                </c:pt>
              </c:numCache>
            </c:numRef>
          </c:val>
          <c:extLst>
            <c:ext xmlns:c16="http://schemas.microsoft.com/office/drawing/2014/chart" uri="{C3380CC4-5D6E-409C-BE32-E72D297353CC}">
              <c16:uniqueId val="{00000001-9C22-486E-83FD-86E18794F052}"/>
            </c:ext>
          </c:extLst>
        </c:ser>
        <c:dLbls>
          <c:showLegendKey val="0"/>
          <c:showVal val="0"/>
          <c:showCatName val="0"/>
          <c:showSerName val="0"/>
          <c:showPercent val="0"/>
          <c:showBubbleSize val="0"/>
        </c:dLbls>
        <c:gapWidth val="100"/>
        <c:axId val="1109914015"/>
        <c:axId val="1109548719"/>
      </c:barChart>
      <c:lineChart>
        <c:grouping val="standard"/>
        <c:varyColors val="0"/>
        <c:ser>
          <c:idx val="3"/>
          <c:order val="2"/>
          <c:tx>
            <c:strRef>
              <c:f>Sheet2!$E$2</c:f>
              <c:strCache>
                <c:ptCount val="1"/>
                <c:pt idx="0">
                  <c:v>RMS Exit (RHS)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Sheet2!$E$3:$E$16</c:f>
              <c:numCache>
                <c:formatCode>General</c:formatCode>
                <c:ptCount val="14"/>
                <c:pt idx="0">
                  <c:v>314</c:v>
                </c:pt>
                <c:pt idx="1">
                  <c:v>436</c:v>
                </c:pt>
                <c:pt idx="2">
                  <c:v>715</c:v>
                </c:pt>
                <c:pt idx="3">
                  <c:v>612</c:v>
                </c:pt>
                <c:pt idx="4">
                  <c:v>582</c:v>
                </c:pt>
                <c:pt idx="5">
                  <c:v>561</c:v>
                </c:pt>
                <c:pt idx="6">
                  <c:v>637</c:v>
                </c:pt>
                <c:pt idx="7">
                  <c:v>890</c:v>
                </c:pt>
                <c:pt idx="8">
                  <c:v>716</c:v>
                </c:pt>
                <c:pt idx="9">
                  <c:v>1058</c:v>
                </c:pt>
                <c:pt idx="10" formatCode="0">
                  <c:v>667.11140760506999</c:v>
                </c:pt>
                <c:pt idx="11" formatCode="0">
                  <c:v>450.45045045045043</c:v>
                </c:pt>
                <c:pt idx="12" formatCode="0">
                  <c:v>547.34537493158177</c:v>
                </c:pt>
                <c:pt idx="13" formatCode="0">
                  <c:v>665</c:v>
                </c:pt>
              </c:numCache>
            </c:numRef>
          </c:val>
          <c:smooth val="0"/>
          <c:extLst>
            <c:ext xmlns:c16="http://schemas.microsoft.com/office/drawing/2014/chart" uri="{C3380CC4-5D6E-409C-BE32-E72D297353CC}">
              <c16:uniqueId val="{00000002-9C22-486E-83FD-86E18794F052}"/>
            </c:ext>
          </c:extLst>
        </c:ser>
        <c:ser>
          <c:idx val="4"/>
          <c:order val="3"/>
          <c:tx>
            <c:strRef>
              <c:f>Sheet2!$F$2</c:f>
              <c:strCache>
                <c:ptCount val="1"/>
                <c:pt idx="0">
                  <c:v>Attachment (RHS)</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Sheet2!$F$3:$F$16</c:f>
              <c:numCache>
                <c:formatCode>General</c:formatCode>
                <c:ptCount val="14"/>
                <c:pt idx="0">
                  <c:v>75</c:v>
                </c:pt>
                <c:pt idx="1">
                  <c:v>75</c:v>
                </c:pt>
                <c:pt idx="2">
                  <c:v>67</c:v>
                </c:pt>
                <c:pt idx="3">
                  <c:v>64</c:v>
                </c:pt>
                <c:pt idx="4">
                  <c:v>62</c:v>
                </c:pt>
                <c:pt idx="5">
                  <c:v>59</c:v>
                </c:pt>
                <c:pt idx="6">
                  <c:v>58</c:v>
                </c:pt>
                <c:pt idx="7">
                  <c:v>61</c:v>
                </c:pt>
                <c:pt idx="8">
                  <c:v>57</c:v>
                </c:pt>
                <c:pt idx="9">
                  <c:v>56</c:v>
                </c:pt>
                <c:pt idx="10" formatCode="0">
                  <c:v>45</c:v>
                </c:pt>
                <c:pt idx="11" formatCode="0">
                  <c:v>50.309402827388439</c:v>
                </c:pt>
                <c:pt idx="12" formatCode="0">
                  <c:v>51.297835231353233</c:v>
                </c:pt>
                <c:pt idx="13" formatCode="0">
                  <c:v>51</c:v>
                </c:pt>
              </c:numCache>
            </c:numRef>
          </c:val>
          <c:smooth val="0"/>
          <c:extLst>
            <c:ext xmlns:c16="http://schemas.microsoft.com/office/drawing/2014/chart" uri="{C3380CC4-5D6E-409C-BE32-E72D297353CC}">
              <c16:uniqueId val="{00000003-9C22-486E-83FD-86E18794F052}"/>
            </c:ext>
          </c:extLst>
        </c:ser>
        <c:ser>
          <c:idx val="5"/>
          <c:order val="4"/>
          <c:tx>
            <c:strRef>
              <c:f>Sheet2!$G$2</c:f>
              <c:strCache>
                <c:ptCount val="1"/>
                <c:pt idx="0">
                  <c:v>Exhaust Historical Avg (RHS)</c:v>
                </c:pt>
              </c:strCache>
            </c:strRef>
          </c:tx>
          <c:spPr>
            <a:ln w="28575" cap="rnd">
              <a:solidFill>
                <a:schemeClr val="accent6"/>
              </a:solidFill>
              <a:prstDash val="sysDash"/>
              <a:round/>
            </a:ln>
            <a:effectLst/>
          </c:spPr>
          <c:marker>
            <c:symbol val="none"/>
          </c:marker>
          <c:val>
            <c:numRef>
              <c:f>Sheet2!$G$3:$G$16</c:f>
              <c:numCache>
                <c:formatCode>0</c:formatCode>
                <c:ptCount val="14"/>
                <c:pt idx="0">
                  <c:v>646.41429163897192</c:v>
                </c:pt>
                <c:pt idx="1">
                  <c:v>646.41429163897192</c:v>
                </c:pt>
                <c:pt idx="2">
                  <c:v>646.41429163897192</c:v>
                </c:pt>
                <c:pt idx="3">
                  <c:v>646.41429163897192</c:v>
                </c:pt>
                <c:pt idx="4">
                  <c:v>646.41429163897192</c:v>
                </c:pt>
                <c:pt idx="5">
                  <c:v>646.41429163897192</c:v>
                </c:pt>
                <c:pt idx="6">
                  <c:v>646.41429163897192</c:v>
                </c:pt>
                <c:pt idx="7">
                  <c:v>646.41429163897192</c:v>
                </c:pt>
                <c:pt idx="8">
                  <c:v>646.41429163897192</c:v>
                </c:pt>
                <c:pt idx="9">
                  <c:v>646.41429163897192</c:v>
                </c:pt>
                <c:pt idx="10">
                  <c:v>646.41429163897192</c:v>
                </c:pt>
                <c:pt idx="11">
                  <c:v>646.41429163897192</c:v>
                </c:pt>
                <c:pt idx="12">
                  <c:v>646.41429163897192</c:v>
                </c:pt>
                <c:pt idx="13">
                  <c:v>646.41429163897192</c:v>
                </c:pt>
              </c:numCache>
            </c:numRef>
          </c:val>
          <c:smooth val="0"/>
          <c:extLst>
            <c:ext xmlns:c16="http://schemas.microsoft.com/office/drawing/2014/chart" uri="{C3380CC4-5D6E-409C-BE32-E72D297353CC}">
              <c16:uniqueId val="{00000004-9C22-486E-83FD-86E18794F052}"/>
            </c:ext>
          </c:extLst>
        </c:ser>
        <c:dLbls>
          <c:showLegendKey val="0"/>
          <c:showVal val="0"/>
          <c:showCatName val="0"/>
          <c:showSerName val="0"/>
          <c:showPercent val="0"/>
          <c:showBubbleSize val="0"/>
        </c:dLbls>
        <c:marker val="1"/>
        <c:smooth val="0"/>
        <c:axId val="2062171584"/>
        <c:axId val="2062171104"/>
      </c:lineChart>
      <c:dateAx>
        <c:axId val="1109914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09548719"/>
        <c:crosses val="autoZero"/>
        <c:auto val="0"/>
        <c:lblOffset val="100"/>
        <c:baseTimeUnit val="days"/>
      </c:dateAx>
      <c:valAx>
        <c:axId val="1109548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NZ" sz="800"/>
                  <a:t>Programme Limit</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09914015"/>
        <c:crosses val="autoZero"/>
        <c:crossBetween val="between"/>
        <c:dispUnits>
          <c:builtInUnit val="millions"/>
          <c:dispUnitsLbl>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dispUnitsLbl>
        </c:dispUnits>
      </c:valAx>
      <c:valAx>
        <c:axId val="2062171104"/>
        <c:scaling>
          <c:orientation val="minMax"/>
        </c:scaling>
        <c:delete val="0"/>
        <c:axPos val="r"/>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NZ" sz="800"/>
                  <a:t>Return Perioud (in Years)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062171584"/>
        <c:crosses val="max"/>
        <c:crossBetween val="between"/>
      </c:valAx>
      <c:catAx>
        <c:axId val="2062171584"/>
        <c:scaling>
          <c:orientation val="minMax"/>
        </c:scaling>
        <c:delete val="1"/>
        <c:axPos val="b"/>
        <c:numFmt formatCode="General" sourceLinked="1"/>
        <c:majorTickMark val="out"/>
        <c:minorTickMark val="none"/>
        <c:tickLblPos val="nextTo"/>
        <c:crossAx val="20621711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7FCCAE-D667-4775-8EDC-5C781C3421B9}" type="doc">
      <dgm:prSet loTypeId="urn:microsoft.com/office/officeart/2005/8/layout/process4" loCatId="process" qsTypeId="urn:microsoft.com/office/officeart/2005/8/quickstyle/simple1#2" qsCatId="simple" csTypeId="urn:microsoft.com/office/officeart/2005/8/colors/accent1_2#1" csCatId="accent1" phldr="1"/>
      <dgm:spPr/>
      <dgm:t>
        <a:bodyPr/>
        <a:lstStyle/>
        <a:p>
          <a:endParaRPr lang="en-NZ"/>
        </a:p>
      </dgm:t>
    </dgm:pt>
    <dgm:pt modelId="{0EF0C4A5-C816-4E04-B823-9DFE75B229B7}">
      <dgm:prSet phldrT="[Text]"/>
      <dgm:spPr/>
      <dgm:t>
        <a:bodyPr/>
        <a:lstStyle/>
        <a:p>
          <a:pPr algn="ctr"/>
          <a:r>
            <a:rPr lang="en-NZ"/>
            <a:t>Our Risk Financing Strategy</a:t>
          </a:r>
        </a:p>
      </dgm:t>
    </dgm:pt>
    <dgm:pt modelId="{4A77A97B-C1B0-4E9A-B844-677C94758B1F}" type="parTrans" cxnId="{E884EC1F-A110-43B9-BF5E-366CA9D5916A}">
      <dgm:prSet/>
      <dgm:spPr/>
      <dgm:t>
        <a:bodyPr/>
        <a:lstStyle/>
        <a:p>
          <a:pPr algn="ctr"/>
          <a:endParaRPr lang="en-NZ"/>
        </a:p>
      </dgm:t>
    </dgm:pt>
    <dgm:pt modelId="{03128615-EC1F-4E3B-8FA7-C19D5B320BA1}" type="sibTrans" cxnId="{E884EC1F-A110-43B9-BF5E-366CA9D5916A}">
      <dgm:prSet/>
      <dgm:spPr/>
      <dgm:t>
        <a:bodyPr/>
        <a:lstStyle/>
        <a:p>
          <a:pPr algn="ctr"/>
          <a:endParaRPr lang="en-NZ"/>
        </a:p>
      </dgm:t>
    </dgm:pt>
    <dgm:pt modelId="{CA22AB75-4846-4601-8884-63D1F94F0580}">
      <dgm:prSet phldrT="[Text]"/>
      <dgm:spPr/>
      <dgm:t>
        <a:bodyPr/>
        <a:lstStyle/>
        <a:p>
          <a:pPr algn="l"/>
          <a:r>
            <a:rPr lang="en-NZ" b="0" i="0"/>
            <a:t>Our goal is to ensure that we have:</a:t>
          </a:r>
        </a:p>
        <a:p>
          <a:pPr algn="l"/>
          <a:r>
            <a:rPr lang="en-NZ" b="0" i="0"/>
            <a:t>- a robust risk financing framework that builds the financial resilience of the NHI scheme through growing the NHF, and </a:t>
          </a:r>
        </a:p>
        <a:p>
          <a:pPr algn="l"/>
          <a:r>
            <a:rPr lang="en-NZ" b="0" i="0"/>
            <a:t>- the efficient transfer of risk to global capital markets through reinsurance and other risk management products.</a:t>
          </a:r>
          <a:endParaRPr lang="en-NZ" b="0"/>
        </a:p>
      </dgm:t>
    </dgm:pt>
    <dgm:pt modelId="{D9C8B66A-07E8-4C01-ACFB-60F92B870CC4}" type="parTrans" cxnId="{CC3869E3-2A9C-4ED0-8B43-3A7CAA5FAEDA}">
      <dgm:prSet/>
      <dgm:spPr/>
      <dgm:t>
        <a:bodyPr/>
        <a:lstStyle/>
        <a:p>
          <a:pPr algn="ctr"/>
          <a:endParaRPr lang="en-NZ"/>
        </a:p>
      </dgm:t>
    </dgm:pt>
    <dgm:pt modelId="{426AA9E3-D0EB-4AD2-9EDE-C716966ED793}" type="sibTrans" cxnId="{CC3869E3-2A9C-4ED0-8B43-3A7CAA5FAEDA}">
      <dgm:prSet/>
      <dgm:spPr/>
      <dgm:t>
        <a:bodyPr/>
        <a:lstStyle/>
        <a:p>
          <a:pPr algn="ctr"/>
          <a:endParaRPr lang="en-NZ"/>
        </a:p>
      </dgm:t>
    </dgm:pt>
    <dgm:pt modelId="{66C805A3-3A6E-4B66-99F7-E4003BF331C5}">
      <dgm:prSet phldrT="[Text]"/>
      <dgm:spPr/>
      <dgm:t>
        <a:bodyPr/>
        <a:lstStyle/>
        <a:p>
          <a:pPr algn="ctr"/>
          <a:r>
            <a:rPr lang="en-NZ"/>
            <a:t>We do this through </a:t>
          </a:r>
        </a:p>
      </dgm:t>
    </dgm:pt>
    <dgm:pt modelId="{6F85530F-9E06-41D7-A5A2-D0EBC9DEAB1A}" type="parTrans" cxnId="{82BA5524-5742-41C8-BF43-77929359BEE0}">
      <dgm:prSet/>
      <dgm:spPr/>
      <dgm:t>
        <a:bodyPr/>
        <a:lstStyle/>
        <a:p>
          <a:pPr algn="ctr"/>
          <a:endParaRPr lang="en-NZ"/>
        </a:p>
      </dgm:t>
    </dgm:pt>
    <dgm:pt modelId="{FEF431DE-C51F-4C6E-8088-99D903C6530B}" type="sibTrans" cxnId="{82BA5524-5742-41C8-BF43-77929359BEE0}">
      <dgm:prSet/>
      <dgm:spPr/>
      <dgm:t>
        <a:bodyPr/>
        <a:lstStyle/>
        <a:p>
          <a:pPr algn="ctr"/>
          <a:endParaRPr lang="en-NZ"/>
        </a:p>
      </dgm:t>
    </dgm:pt>
    <dgm:pt modelId="{8167AD5B-0B21-4238-B66F-D141DA51BADE}">
      <dgm:prSet phldrT="[Text]"/>
      <dgm:spPr/>
      <dgm:t>
        <a:bodyPr/>
        <a:lstStyle/>
        <a:p>
          <a:pPr algn="ctr"/>
          <a:r>
            <a:rPr lang="en-NZ"/>
            <a:t>Risk Transfer</a:t>
          </a:r>
        </a:p>
      </dgm:t>
    </dgm:pt>
    <dgm:pt modelId="{E6961C15-732A-481B-BF06-83DA3A87D82A}" type="parTrans" cxnId="{A278A133-A4CD-41DB-83F2-15002480FBB7}">
      <dgm:prSet/>
      <dgm:spPr/>
      <dgm:t>
        <a:bodyPr/>
        <a:lstStyle/>
        <a:p>
          <a:pPr algn="ctr"/>
          <a:endParaRPr lang="en-NZ"/>
        </a:p>
      </dgm:t>
    </dgm:pt>
    <dgm:pt modelId="{783D7E6A-04B3-452B-8E0A-3AC0231479DC}" type="sibTrans" cxnId="{A278A133-A4CD-41DB-83F2-15002480FBB7}">
      <dgm:prSet/>
      <dgm:spPr/>
      <dgm:t>
        <a:bodyPr/>
        <a:lstStyle/>
        <a:p>
          <a:pPr algn="ctr"/>
          <a:endParaRPr lang="en-NZ"/>
        </a:p>
      </dgm:t>
    </dgm:pt>
    <dgm:pt modelId="{6B790544-D04D-49E1-96AF-5AC4E3573284}">
      <dgm:prSet phldrT="[Text]"/>
      <dgm:spPr/>
      <dgm:t>
        <a:bodyPr/>
        <a:lstStyle/>
        <a:p>
          <a:pPr algn="ctr"/>
          <a:r>
            <a:rPr lang="en-NZ"/>
            <a:t>Goal of the Risk Financing Strategy </a:t>
          </a:r>
        </a:p>
      </dgm:t>
    </dgm:pt>
    <dgm:pt modelId="{57900B84-8199-4E0E-9577-28FF90C86B37}" type="parTrans" cxnId="{F5F790B0-1AF2-4448-9D80-417F7F63A84D}">
      <dgm:prSet/>
      <dgm:spPr/>
      <dgm:t>
        <a:bodyPr/>
        <a:lstStyle/>
        <a:p>
          <a:pPr algn="ctr"/>
          <a:endParaRPr lang="en-NZ"/>
        </a:p>
      </dgm:t>
    </dgm:pt>
    <dgm:pt modelId="{38C9721D-6741-4E6F-8894-35A2F1221DB3}" type="sibTrans" cxnId="{F5F790B0-1AF2-4448-9D80-417F7F63A84D}">
      <dgm:prSet/>
      <dgm:spPr/>
      <dgm:t>
        <a:bodyPr/>
        <a:lstStyle/>
        <a:p>
          <a:pPr algn="ctr"/>
          <a:endParaRPr lang="en-NZ"/>
        </a:p>
      </dgm:t>
    </dgm:pt>
    <dgm:pt modelId="{256A7EE9-D70F-4A39-98BB-23DDC37CEA3D}">
      <dgm:prSet phldrT="[Text]"/>
      <dgm:spPr/>
      <dgm:t>
        <a:bodyPr/>
        <a:lstStyle/>
        <a:p>
          <a:pPr algn="l"/>
          <a:r>
            <a:rPr lang="en-NZ"/>
            <a:t>To use our Risk Financing expertise to manage the fiscal risks of providing natural hazards insurance cover. </a:t>
          </a:r>
        </a:p>
        <a:p>
          <a:pPr algn="l"/>
          <a:r>
            <a:rPr lang="en-NZ"/>
            <a:t>Four levers of the risk financing strategy are the NHI levy, transfering financial risk, building the Natural Hazard Fund (NHF) and the Crown guarantee. </a:t>
          </a:r>
        </a:p>
      </dgm:t>
    </dgm:pt>
    <dgm:pt modelId="{1873F6DC-B66B-41A8-9338-3474671E7C49}" type="parTrans" cxnId="{58967375-1C46-4764-85A4-7FD299417260}">
      <dgm:prSet/>
      <dgm:spPr/>
      <dgm:t>
        <a:bodyPr/>
        <a:lstStyle/>
        <a:p>
          <a:pPr algn="ctr"/>
          <a:endParaRPr lang="en-NZ"/>
        </a:p>
      </dgm:t>
    </dgm:pt>
    <dgm:pt modelId="{17EDEE2E-9E44-4C46-A5FD-955AB8BACDFB}" type="sibTrans" cxnId="{58967375-1C46-4764-85A4-7FD299417260}">
      <dgm:prSet/>
      <dgm:spPr/>
      <dgm:t>
        <a:bodyPr/>
        <a:lstStyle/>
        <a:p>
          <a:pPr algn="ctr"/>
          <a:endParaRPr lang="en-NZ"/>
        </a:p>
      </dgm:t>
    </dgm:pt>
    <dgm:pt modelId="{5CA91852-DCF0-45EB-8728-957B905E94B5}">
      <dgm:prSet phldrT="[Text]"/>
      <dgm:spPr/>
      <dgm:t>
        <a:bodyPr/>
        <a:lstStyle/>
        <a:p>
          <a:pPr algn="ctr"/>
          <a:r>
            <a:rPr lang="en-NZ"/>
            <a:t>Outcome</a:t>
          </a:r>
        </a:p>
      </dgm:t>
    </dgm:pt>
    <dgm:pt modelId="{464E4EEE-BBCF-4EFC-85B6-240CE5A330D0}" type="parTrans" cxnId="{858E8CAC-57C8-415F-9B70-A0FA9A749357}">
      <dgm:prSet/>
      <dgm:spPr/>
      <dgm:t>
        <a:bodyPr/>
        <a:lstStyle/>
        <a:p>
          <a:pPr algn="ctr"/>
          <a:endParaRPr lang="en-NZ"/>
        </a:p>
      </dgm:t>
    </dgm:pt>
    <dgm:pt modelId="{3BA0A418-C9A5-4302-B739-C5D65432E548}" type="sibTrans" cxnId="{858E8CAC-57C8-415F-9B70-A0FA9A749357}">
      <dgm:prSet/>
      <dgm:spPr/>
      <dgm:t>
        <a:bodyPr/>
        <a:lstStyle/>
        <a:p>
          <a:pPr algn="ctr"/>
          <a:endParaRPr lang="en-NZ"/>
        </a:p>
      </dgm:t>
    </dgm:pt>
    <dgm:pt modelId="{CE55F362-FB40-42E9-91E4-AF74A46081F5}">
      <dgm:prSet phldrT="[Text]"/>
      <dgm:spPr/>
      <dgm:t>
        <a:bodyPr/>
        <a:lstStyle/>
        <a:p>
          <a:pPr algn="l">
            <a:buFont typeface="Symbol" panose="05050102010706020507" pitchFamily="18" charset="2"/>
            <a:buChar char=""/>
          </a:pPr>
          <a:r>
            <a:rPr lang="en-GB"/>
            <a:t>Homeowners have access to an affordable, sustainable insurance to help manage financial impacts of natural hazard events.</a:t>
          </a:r>
          <a:endParaRPr lang="en-NZ"/>
        </a:p>
      </dgm:t>
    </dgm:pt>
    <dgm:pt modelId="{995E9063-C156-4230-8369-223A27ADDD4C}" type="parTrans" cxnId="{D87C6FE9-58EB-4B65-8BCC-83C7DD17F24A}">
      <dgm:prSet/>
      <dgm:spPr/>
      <dgm:t>
        <a:bodyPr/>
        <a:lstStyle/>
        <a:p>
          <a:pPr algn="ctr"/>
          <a:endParaRPr lang="en-NZ"/>
        </a:p>
      </dgm:t>
    </dgm:pt>
    <dgm:pt modelId="{E383E615-1AEC-4C2D-ACAA-D83E7589A11A}" type="sibTrans" cxnId="{D87C6FE9-58EB-4B65-8BCC-83C7DD17F24A}">
      <dgm:prSet/>
      <dgm:spPr/>
      <dgm:t>
        <a:bodyPr/>
        <a:lstStyle/>
        <a:p>
          <a:pPr algn="ctr"/>
          <a:endParaRPr lang="en-NZ"/>
        </a:p>
      </dgm:t>
    </dgm:pt>
    <dgm:pt modelId="{E0A34D57-6754-4859-8D2C-FA307F6680D1}">
      <dgm:prSet phldrT="[Text]"/>
      <dgm:spPr/>
      <dgm:t>
        <a:bodyPr/>
        <a:lstStyle/>
        <a:p>
          <a:pPr algn="ctr"/>
          <a:r>
            <a:rPr lang="en-NZ"/>
            <a:t>Natural Hazards Insurance Act 2023 (NHI Act)</a:t>
          </a:r>
        </a:p>
      </dgm:t>
    </dgm:pt>
    <dgm:pt modelId="{B90AD862-D19C-4104-82E0-0597EDF136A6}" type="parTrans" cxnId="{26E46A4E-9DB9-4508-AEFC-63D7B2085F83}">
      <dgm:prSet/>
      <dgm:spPr/>
      <dgm:t>
        <a:bodyPr/>
        <a:lstStyle/>
        <a:p>
          <a:pPr algn="ctr"/>
          <a:endParaRPr lang="en-NZ"/>
        </a:p>
      </dgm:t>
    </dgm:pt>
    <dgm:pt modelId="{02E85E33-FC47-4CEA-9002-EAB510003E83}" type="sibTrans" cxnId="{26E46A4E-9DB9-4508-AEFC-63D7B2085F83}">
      <dgm:prSet/>
      <dgm:spPr/>
      <dgm:t>
        <a:bodyPr/>
        <a:lstStyle/>
        <a:p>
          <a:pPr algn="ctr"/>
          <a:endParaRPr lang="en-NZ"/>
        </a:p>
      </dgm:t>
    </dgm:pt>
    <dgm:pt modelId="{026905E2-D32A-459E-97DF-409B5D1B5C19}">
      <dgm:prSet phldrT="[Text]"/>
      <dgm:spPr/>
      <dgm:t>
        <a:bodyPr/>
        <a:lstStyle/>
        <a:p>
          <a:pPr algn="l"/>
          <a:r>
            <a:rPr lang="en-NZ"/>
            <a:t>Funding and Risk Management Statement is prepared in accordance with the provisions outlined in the NHI Act, issued under section 136. The Natural Hazards Commission Toka Tū Ake (NHC Toka Tū Ake) must give effect to this statement when executing the functions of the Commission under section 129(b) and (d) of the NHI Act.</a:t>
          </a:r>
        </a:p>
      </dgm:t>
    </dgm:pt>
    <dgm:pt modelId="{329D1B8C-332E-4FCA-8550-900E12F62D66}" type="parTrans" cxnId="{CF6FE661-DB53-4F36-8CF3-98A0734802F0}">
      <dgm:prSet/>
      <dgm:spPr/>
      <dgm:t>
        <a:bodyPr/>
        <a:lstStyle/>
        <a:p>
          <a:pPr algn="ctr"/>
          <a:endParaRPr lang="en-NZ"/>
        </a:p>
      </dgm:t>
    </dgm:pt>
    <dgm:pt modelId="{3328B0D5-0451-4C70-8078-31F429B53141}" type="sibTrans" cxnId="{CF6FE661-DB53-4F36-8CF3-98A0734802F0}">
      <dgm:prSet/>
      <dgm:spPr/>
      <dgm:t>
        <a:bodyPr/>
        <a:lstStyle/>
        <a:p>
          <a:pPr algn="ctr"/>
          <a:endParaRPr lang="en-NZ"/>
        </a:p>
      </dgm:t>
    </dgm:pt>
    <dgm:pt modelId="{B06CC94B-3C65-4E93-A8A8-757DCEFB8681}">
      <dgm:prSet phldrT="[Text]"/>
      <dgm:spPr/>
      <dgm:t>
        <a:bodyPr/>
        <a:lstStyle/>
        <a:p>
          <a:pPr algn="ctr"/>
          <a:r>
            <a:rPr lang="en-NZ" b="0" i="0"/>
            <a:t>Government’s Funding and Risk Management Statement (FRMS)</a:t>
          </a:r>
          <a:endParaRPr lang="en-NZ"/>
        </a:p>
      </dgm:t>
    </dgm:pt>
    <dgm:pt modelId="{DB559255-F479-4249-8C8C-C79CD30C0A85}" type="parTrans" cxnId="{D8090588-7989-4A8F-918F-1545BBCD1EB9}">
      <dgm:prSet/>
      <dgm:spPr/>
      <dgm:t>
        <a:bodyPr/>
        <a:lstStyle/>
        <a:p>
          <a:pPr algn="ctr"/>
          <a:endParaRPr lang="en-NZ"/>
        </a:p>
      </dgm:t>
    </dgm:pt>
    <dgm:pt modelId="{A8F7BB9D-7D19-4044-BC2B-1C5852949EBD}" type="sibTrans" cxnId="{D8090588-7989-4A8F-918F-1545BBCD1EB9}">
      <dgm:prSet/>
      <dgm:spPr/>
      <dgm:t>
        <a:bodyPr/>
        <a:lstStyle/>
        <a:p>
          <a:pPr algn="ctr"/>
          <a:endParaRPr lang="en-NZ"/>
        </a:p>
      </dgm:t>
    </dgm:pt>
    <dgm:pt modelId="{28939D97-1550-4B38-AB2F-9DEB725F49F1}">
      <dgm:prSet phldrT="[Text]"/>
      <dgm:spPr/>
      <dgm:t>
        <a:bodyPr/>
        <a:lstStyle/>
        <a:p>
          <a:pPr algn="l"/>
          <a:r>
            <a:rPr lang="en-NZ" b="0" i="0"/>
            <a:t>The FRMS is a key part of the financial governance of the Natural Hazards Insurance scheme (NHI scheme) and sets out how the costs and risks of the NHI scheme are shared between the Crown and the NHI levy payers. The FRMS is issued by the Government in consultation with the Board.</a:t>
          </a:r>
          <a:endParaRPr lang="en-NZ"/>
        </a:p>
      </dgm:t>
    </dgm:pt>
    <dgm:pt modelId="{2CB8CA15-B5CA-4754-A9D5-4BAC085C15E8}" type="parTrans" cxnId="{82C527A7-4C4C-4E37-AFE7-D20A5AAF068C}">
      <dgm:prSet/>
      <dgm:spPr/>
      <dgm:t>
        <a:bodyPr/>
        <a:lstStyle/>
        <a:p>
          <a:pPr algn="ctr"/>
          <a:endParaRPr lang="en-NZ"/>
        </a:p>
      </dgm:t>
    </dgm:pt>
    <dgm:pt modelId="{FDF5F3D9-1BDF-4551-9B82-5EBC720112BA}" type="sibTrans" cxnId="{82C527A7-4C4C-4E37-AFE7-D20A5AAF068C}">
      <dgm:prSet/>
      <dgm:spPr/>
      <dgm:t>
        <a:bodyPr/>
        <a:lstStyle/>
        <a:p>
          <a:pPr algn="ctr"/>
          <a:endParaRPr lang="en-NZ"/>
        </a:p>
      </dgm:t>
    </dgm:pt>
    <dgm:pt modelId="{1C826D57-3F2A-4B1D-A609-00FD5AC5ED11}">
      <dgm:prSet phldrT="[Text]"/>
      <dgm:spPr/>
      <dgm:t>
        <a:bodyPr/>
        <a:lstStyle/>
        <a:p>
          <a:pPr algn="ctr"/>
          <a:r>
            <a:rPr lang="en-NZ"/>
            <a:t>Investing the NHF</a:t>
          </a:r>
        </a:p>
      </dgm:t>
    </dgm:pt>
    <dgm:pt modelId="{5D0AC63B-7382-4CCF-81AD-AA57FBEA1EC9}" type="parTrans" cxnId="{D337C87B-DFC1-410E-8249-84DCFB781331}">
      <dgm:prSet/>
      <dgm:spPr/>
      <dgm:t>
        <a:bodyPr/>
        <a:lstStyle/>
        <a:p>
          <a:endParaRPr lang="en-NZ"/>
        </a:p>
      </dgm:t>
    </dgm:pt>
    <dgm:pt modelId="{DDDF2835-32EE-46C6-A076-9F83E743CB10}" type="sibTrans" cxnId="{D337C87B-DFC1-410E-8249-84DCFB781331}">
      <dgm:prSet/>
      <dgm:spPr/>
      <dgm:t>
        <a:bodyPr/>
        <a:lstStyle/>
        <a:p>
          <a:endParaRPr lang="en-NZ"/>
        </a:p>
      </dgm:t>
    </dgm:pt>
    <dgm:pt modelId="{578C0217-9CAF-4B09-9635-6E4124B623AD}">
      <dgm:prSet phldrT="[Text]"/>
      <dgm:spPr/>
      <dgm:t>
        <a:bodyPr/>
        <a:lstStyle/>
        <a:p>
          <a:pPr algn="ctr"/>
          <a:r>
            <a:rPr lang="en-NZ"/>
            <a:t>Collecting NHI levy income</a:t>
          </a:r>
        </a:p>
      </dgm:t>
    </dgm:pt>
    <dgm:pt modelId="{402A7B9B-A6B6-4322-A4AB-F01B1DC785EB}" type="parTrans" cxnId="{C82C297D-D031-44D3-A62B-5636A96A5820}">
      <dgm:prSet/>
      <dgm:spPr/>
      <dgm:t>
        <a:bodyPr/>
        <a:lstStyle/>
        <a:p>
          <a:endParaRPr lang="en-NZ"/>
        </a:p>
      </dgm:t>
    </dgm:pt>
    <dgm:pt modelId="{A400EDE2-8D80-4B10-8BAE-663A7EE0B9F0}" type="sibTrans" cxnId="{C82C297D-D031-44D3-A62B-5636A96A5820}">
      <dgm:prSet/>
      <dgm:spPr/>
      <dgm:t>
        <a:bodyPr/>
        <a:lstStyle/>
        <a:p>
          <a:endParaRPr lang="en-NZ"/>
        </a:p>
      </dgm:t>
    </dgm:pt>
    <dgm:pt modelId="{E16789AF-F6BE-45C6-9CED-00EBF6037734}">
      <dgm:prSet phldrT="[Text]"/>
      <dgm:spPr/>
      <dgm:t>
        <a:bodyPr/>
        <a:lstStyle/>
        <a:p>
          <a:pPr algn="ctr"/>
          <a:r>
            <a:rPr lang="en-NZ"/>
            <a:t>Actuarial modelling of the financial risks to the NHI scheme</a:t>
          </a:r>
        </a:p>
      </dgm:t>
    </dgm:pt>
    <dgm:pt modelId="{1D4F39DF-E4A6-4542-973A-30962A06E520}" type="parTrans" cxnId="{2A23A795-E169-488C-92DB-7C569B33A5F0}">
      <dgm:prSet/>
      <dgm:spPr/>
      <dgm:t>
        <a:bodyPr/>
        <a:lstStyle/>
        <a:p>
          <a:endParaRPr lang="en-NZ"/>
        </a:p>
      </dgm:t>
    </dgm:pt>
    <dgm:pt modelId="{63E02353-FA64-42D8-8DFB-B6A07904D743}" type="sibTrans" cxnId="{2A23A795-E169-488C-92DB-7C569B33A5F0}">
      <dgm:prSet/>
      <dgm:spPr/>
      <dgm:t>
        <a:bodyPr/>
        <a:lstStyle/>
        <a:p>
          <a:endParaRPr lang="en-NZ"/>
        </a:p>
      </dgm:t>
    </dgm:pt>
    <dgm:pt modelId="{9A77BAF3-D653-44FB-B694-8A33CD0BCA2A}">
      <dgm:prSet phldrT="[Text]"/>
      <dgm:spPr/>
      <dgm:t>
        <a:bodyPr/>
        <a:lstStyle/>
        <a:p>
          <a:pPr algn="ctr"/>
          <a:r>
            <a:rPr lang="en-NZ"/>
            <a:t>Working with the Treasury</a:t>
          </a:r>
        </a:p>
      </dgm:t>
    </dgm:pt>
    <dgm:pt modelId="{2265CBA2-7B37-4F39-BAEA-2D29B8128621}" type="parTrans" cxnId="{A2804A93-46E6-49AD-AF1D-4FB0913CDA1C}">
      <dgm:prSet/>
      <dgm:spPr/>
      <dgm:t>
        <a:bodyPr/>
        <a:lstStyle/>
        <a:p>
          <a:endParaRPr lang="en-NZ"/>
        </a:p>
      </dgm:t>
    </dgm:pt>
    <dgm:pt modelId="{B9C0703C-99A7-4721-8512-AE655A7218FD}" type="sibTrans" cxnId="{A2804A93-46E6-49AD-AF1D-4FB0913CDA1C}">
      <dgm:prSet/>
      <dgm:spPr/>
      <dgm:t>
        <a:bodyPr/>
        <a:lstStyle/>
        <a:p>
          <a:endParaRPr lang="en-NZ"/>
        </a:p>
      </dgm:t>
    </dgm:pt>
    <dgm:pt modelId="{18EBB3EB-D937-4240-B801-E360715CDF9B}">
      <dgm:prSet phldrT="[Text]"/>
      <dgm:spPr/>
      <dgm:t>
        <a:bodyPr/>
        <a:lstStyle/>
        <a:p>
          <a:pPr algn="ctr"/>
          <a:r>
            <a:rPr lang="en-NZ"/>
            <a:t>Partnering with key stakeholders</a:t>
          </a:r>
        </a:p>
      </dgm:t>
    </dgm:pt>
    <dgm:pt modelId="{52A84D40-7CD9-407A-9FDC-73750507FE07}" type="parTrans" cxnId="{69494D5D-0D05-4857-9CCB-F6905E5ACDF2}">
      <dgm:prSet/>
      <dgm:spPr/>
      <dgm:t>
        <a:bodyPr/>
        <a:lstStyle/>
        <a:p>
          <a:endParaRPr lang="en-NZ"/>
        </a:p>
      </dgm:t>
    </dgm:pt>
    <dgm:pt modelId="{51EA9EE2-40D2-41BF-BDA8-CF8798F5B2B7}" type="sibTrans" cxnId="{69494D5D-0D05-4857-9CCB-F6905E5ACDF2}">
      <dgm:prSet/>
      <dgm:spPr/>
      <dgm:t>
        <a:bodyPr/>
        <a:lstStyle/>
        <a:p>
          <a:endParaRPr lang="en-NZ"/>
        </a:p>
      </dgm:t>
    </dgm:pt>
    <dgm:pt modelId="{FCBB9FCA-78E6-4233-B95C-8635D1592395}" type="pres">
      <dgm:prSet presAssocID="{AA7FCCAE-D667-4775-8EDC-5C781C3421B9}" presName="Name0" presStyleCnt="0">
        <dgm:presLayoutVars>
          <dgm:dir/>
          <dgm:animLvl val="lvl"/>
          <dgm:resizeHandles val="exact"/>
        </dgm:presLayoutVars>
      </dgm:prSet>
      <dgm:spPr/>
    </dgm:pt>
    <dgm:pt modelId="{7CCE7D1B-B804-41EB-85CE-35721BDD4092}" type="pres">
      <dgm:prSet presAssocID="{5CA91852-DCF0-45EB-8728-957B905E94B5}" presName="boxAndChildren" presStyleCnt="0"/>
      <dgm:spPr/>
    </dgm:pt>
    <dgm:pt modelId="{A3DAF69F-CD02-4E96-BB52-FD36BCE21872}" type="pres">
      <dgm:prSet presAssocID="{5CA91852-DCF0-45EB-8728-957B905E94B5}" presName="parentTextBox" presStyleLbl="node1" presStyleIdx="0" presStyleCnt="6"/>
      <dgm:spPr/>
    </dgm:pt>
    <dgm:pt modelId="{E67DCCA9-3CF4-469F-9318-3B1E604C54DB}" type="pres">
      <dgm:prSet presAssocID="{5CA91852-DCF0-45EB-8728-957B905E94B5}" presName="entireBox" presStyleLbl="node1" presStyleIdx="0" presStyleCnt="6"/>
      <dgm:spPr/>
    </dgm:pt>
    <dgm:pt modelId="{8F52580D-2583-4ED8-B136-08528F2D7C1D}" type="pres">
      <dgm:prSet presAssocID="{5CA91852-DCF0-45EB-8728-957B905E94B5}" presName="descendantBox" presStyleCnt="0"/>
      <dgm:spPr/>
    </dgm:pt>
    <dgm:pt modelId="{0A464980-CB8A-4F29-AED0-93ADA0A4562E}" type="pres">
      <dgm:prSet presAssocID="{CE55F362-FB40-42E9-91E4-AF74A46081F5}" presName="childTextBox" presStyleLbl="fgAccFollowNode1" presStyleIdx="0" presStyleCnt="11">
        <dgm:presLayoutVars>
          <dgm:bulletEnabled val="1"/>
        </dgm:presLayoutVars>
      </dgm:prSet>
      <dgm:spPr/>
    </dgm:pt>
    <dgm:pt modelId="{F790AAF0-58EA-47BB-8701-7C378B16EB32}" type="pres">
      <dgm:prSet presAssocID="{FEF431DE-C51F-4C6E-8088-99D903C6530B}" presName="sp" presStyleCnt="0"/>
      <dgm:spPr/>
    </dgm:pt>
    <dgm:pt modelId="{922407DD-B236-42F0-A647-D17F697E13B1}" type="pres">
      <dgm:prSet presAssocID="{66C805A3-3A6E-4B66-99F7-E4003BF331C5}" presName="arrowAndChildren" presStyleCnt="0"/>
      <dgm:spPr/>
    </dgm:pt>
    <dgm:pt modelId="{13D6BEE2-AA9A-40AD-8D27-390A4AD5DC93}" type="pres">
      <dgm:prSet presAssocID="{66C805A3-3A6E-4B66-99F7-E4003BF331C5}" presName="parentTextArrow" presStyleLbl="node1" presStyleIdx="0" presStyleCnt="6"/>
      <dgm:spPr/>
    </dgm:pt>
    <dgm:pt modelId="{F4678D34-DD34-4141-8CEE-71C3167AD5FE}" type="pres">
      <dgm:prSet presAssocID="{66C805A3-3A6E-4B66-99F7-E4003BF331C5}" presName="arrow" presStyleLbl="node1" presStyleIdx="1" presStyleCnt="6"/>
      <dgm:spPr/>
    </dgm:pt>
    <dgm:pt modelId="{162C117E-1B10-4545-8270-1A7DEC79F6FB}" type="pres">
      <dgm:prSet presAssocID="{66C805A3-3A6E-4B66-99F7-E4003BF331C5}" presName="descendantArrow" presStyleCnt="0"/>
      <dgm:spPr/>
    </dgm:pt>
    <dgm:pt modelId="{004CE783-8F3C-4712-8A91-80965F783605}" type="pres">
      <dgm:prSet presAssocID="{8167AD5B-0B21-4238-B66F-D141DA51BADE}" presName="childTextArrow" presStyleLbl="fgAccFollowNode1" presStyleIdx="1" presStyleCnt="11">
        <dgm:presLayoutVars>
          <dgm:bulletEnabled val="1"/>
        </dgm:presLayoutVars>
      </dgm:prSet>
      <dgm:spPr/>
    </dgm:pt>
    <dgm:pt modelId="{68C30AB2-9431-4A87-A0DC-53540F8C8CEF}" type="pres">
      <dgm:prSet presAssocID="{1C826D57-3F2A-4B1D-A609-00FD5AC5ED11}" presName="childTextArrow" presStyleLbl="fgAccFollowNode1" presStyleIdx="2" presStyleCnt="11">
        <dgm:presLayoutVars>
          <dgm:bulletEnabled val="1"/>
        </dgm:presLayoutVars>
      </dgm:prSet>
      <dgm:spPr/>
    </dgm:pt>
    <dgm:pt modelId="{24A5D811-8AA4-42EE-A1C2-B9B81C8AA3A9}" type="pres">
      <dgm:prSet presAssocID="{578C0217-9CAF-4B09-9635-6E4124B623AD}" presName="childTextArrow" presStyleLbl="fgAccFollowNode1" presStyleIdx="3" presStyleCnt="11">
        <dgm:presLayoutVars>
          <dgm:bulletEnabled val="1"/>
        </dgm:presLayoutVars>
      </dgm:prSet>
      <dgm:spPr/>
    </dgm:pt>
    <dgm:pt modelId="{3986D2AE-5B6C-44E3-AFE5-3C557977E2A1}" type="pres">
      <dgm:prSet presAssocID="{E16789AF-F6BE-45C6-9CED-00EBF6037734}" presName="childTextArrow" presStyleLbl="fgAccFollowNode1" presStyleIdx="4" presStyleCnt="11">
        <dgm:presLayoutVars>
          <dgm:bulletEnabled val="1"/>
        </dgm:presLayoutVars>
      </dgm:prSet>
      <dgm:spPr/>
    </dgm:pt>
    <dgm:pt modelId="{070E7549-FCC9-406A-8C38-8F098315E2BB}" type="pres">
      <dgm:prSet presAssocID="{9A77BAF3-D653-44FB-B694-8A33CD0BCA2A}" presName="childTextArrow" presStyleLbl="fgAccFollowNode1" presStyleIdx="5" presStyleCnt="11">
        <dgm:presLayoutVars>
          <dgm:bulletEnabled val="1"/>
        </dgm:presLayoutVars>
      </dgm:prSet>
      <dgm:spPr/>
    </dgm:pt>
    <dgm:pt modelId="{A215441E-CBAB-4759-A2A9-F9A9C41E32BB}" type="pres">
      <dgm:prSet presAssocID="{18EBB3EB-D937-4240-B801-E360715CDF9B}" presName="childTextArrow" presStyleLbl="fgAccFollowNode1" presStyleIdx="6" presStyleCnt="11">
        <dgm:presLayoutVars>
          <dgm:bulletEnabled val="1"/>
        </dgm:presLayoutVars>
      </dgm:prSet>
      <dgm:spPr/>
    </dgm:pt>
    <dgm:pt modelId="{2E0CEA2A-64EF-40D4-8B01-34797E76C334}" type="pres">
      <dgm:prSet presAssocID="{38C9721D-6741-4E6F-8894-35A2F1221DB3}" presName="sp" presStyleCnt="0"/>
      <dgm:spPr/>
    </dgm:pt>
    <dgm:pt modelId="{634E05E5-0A46-400B-9A4F-5D8E26CD90D3}" type="pres">
      <dgm:prSet presAssocID="{6B790544-D04D-49E1-96AF-5AC4E3573284}" presName="arrowAndChildren" presStyleCnt="0"/>
      <dgm:spPr/>
    </dgm:pt>
    <dgm:pt modelId="{713B3611-E173-4860-93D5-A587EC426077}" type="pres">
      <dgm:prSet presAssocID="{6B790544-D04D-49E1-96AF-5AC4E3573284}" presName="parentTextArrow" presStyleLbl="node1" presStyleIdx="1" presStyleCnt="6"/>
      <dgm:spPr/>
    </dgm:pt>
    <dgm:pt modelId="{E7CD5897-CDDB-443F-ABE4-70F3975DFE0A}" type="pres">
      <dgm:prSet presAssocID="{6B790544-D04D-49E1-96AF-5AC4E3573284}" presName="arrow" presStyleLbl="node1" presStyleIdx="2" presStyleCnt="6"/>
      <dgm:spPr/>
    </dgm:pt>
    <dgm:pt modelId="{DC0614E7-81EB-47B2-AEE8-8910A60E8558}" type="pres">
      <dgm:prSet presAssocID="{6B790544-D04D-49E1-96AF-5AC4E3573284}" presName="descendantArrow" presStyleCnt="0"/>
      <dgm:spPr/>
    </dgm:pt>
    <dgm:pt modelId="{A61580D8-5D54-4A50-9B59-716831587F22}" type="pres">
      <dgm:prSet presAssocID="{CA22AB75-4846-4601-8884-63D1F94F0580}" presName="childTextArrow" presStyleLbl="fgAccFollowNode1" presStyleIdx="7" presStyleCnt="11">
        <dgm:presLayoutVars>
          <dgm:bulletEnabled val="1"/>
        </dgm:presLayoutVars>
      </dgm:prSet>
      <dgm:spPr/>
    </dgm:pt>
    <dgm:pt modelId="{1FE15C0D-DD2C-42BA-993A-804AB41D925B}" type="pres">
      <dgm:prSet presAssocID="{03128615-EC1F-4E3B-8FA7-C19D5B320BA1}" presName="sp" presStyleCnt="0"/>
      <dgm:spPr/>
    </dgm:pt>
    <dgm:pt modelId="{FBAA159D-AB7F-41FA-8305-B4B4443A7338}" type="pres">
      <dgm:prSet presAssocID="{0EF0C4A5-C816-4E04-B823-9DFE75B229B7}" presName="arrowAndChildren" presStyleCnt="0"/>
      <dgm:spPr/>
    </dgm:pt>
    <dgm:pt modelId="{FAE66B42-2DD2-4C94-BC86-46F8C5EE10C1}" type="pres">
      <dgm:prSet presAssocID="{0EF0C4A5-C816-4E04-B823-9DFE75B229B7}" presName="parentTextArrow" presStyleLbl="node1" presStyleIdx="2" presStyleCnt="6"/>
      <dgm:spPr/>
    </dgm:pt>
    <dgm:pt modelId="{2BF3F5AE-BD33-42A7-A7F4-6C6D14048D6A}" type="pres">
      <dgm:prSet presAssocID="{0EF0C4A5-C816-4E04-B823-9DFE75B229B7}" presName="arrow" presStyleLbl="node1" presStyleIdx="3" presStyleCnt="6" custLinFactNeighborY="-756"/>
      <dgm:spPr/>
    </dgm:pt>
    <dgm:pt modelId="{9EB03579-F360-4989-A424-50C13286F68D}" type="pres">
      <dgm:prSet presAssocID="{0EF0C4A5-C816-4E04-B823-9DFE75B229B7}" presName="descendantArrow" presStyleCnt="0"/>
      <dgm:spPr/>
    </dgm:pt>
    <dgm:pt modelId="{8A364CAB-1E89-44AD-A08D-1993D84E93FD}" type="pres">
      <dgm:prSet presAssocID="{256A7EE9-D70F-4A39-98BB-23DDC37CEA3D}" presName="childTextArrow" presStyleLbl="fgAccFollowNode1" presStyleIdx="8" presStyleCnt="11">
        <dgm:presLayoutVars>
          <dgm:bulletEnabled val="1"/>
        </dgm:presLayoutVars>
      </dgm:prSet>
      <dgm:spPr/>
    </dgm:pt>
    <dgm:pt modelId="{C42B687B-4FC6-4E79-9512-70E5B3A4ED50}" type="pres">
      <dgm:prSet presAssocID="{A8F7BB9D-7D19-4044-BC2B-1C5852949EBD}" presName="sp" presStyleCnt="0"/>
      <dgm:spPr/>
    </dgm:pt>
    <dgm:pt modelId="{7F78F53F-F0DB-4054-808E-7C3750E50423}" type="pres">
      <dgm:prSet presAssocID="{B06CC94B-3C65-4E93-A8A8-757DCEFB8681}" presName="arrowAndChildren" presStyleCnt="0"/>
      <dgm:spPr/>
    </dgm:pt>
    <dgm:pt modelId="{23077A29-918E-4670-9442-AC539D42922E}" type="pres">
      <dgm:prSet presAssocID="{B06CC94B-3C65-4E93-A8A8-757DCEFB8681}" presName="parentTextArrow" presStyleLbl="node1" presStyleIdx="3" presStyleCnt="6"/>
      <dgm:spPr/>
    </dgm:pt>
    <dgm:pt modelId="{5E2528C0-6A01-4F15-8E6C-25B6DE2DCE3C}" type="pres">
      <dgm:prSet presAssocID="{B06CC94B-3C65-4E93-A8A8-757DCEFB8681}" presName="arrow" presStyleLbl="node1" presStyleIdx="4" presStyleCnt="6"/>
      <dgm:spPr/>
    </dgm:pt>
    <dgm:pt modelId="{DCB5991A-4411-47F1-A1A1-08FD052E5162}" type="pres">
      <dgm:prSet presAssocID="{B06CC94B-3C65-4E93-A8A8-757DCEFB8681}" presName="descendantArrow" presStyleCnt="0"/>
      <dgm:spPr/>
    </dgm:pt>
    <dgm:pt modelId="{2F1424CD-CC00-4FC9-B581-BD6950F0D8A6}" type="pres">
      <dgm:prSet presAssocID="{28939D97-1550-4B38-AB2F-9DEB725F49F1}" presName="childTextArrow" presStyleLbl="fgAccFollowNode1" presStyleIdx="9" presStyleCnt="11">
        <dgm:presLayoutVars>
          <dgm:bulletEnabled val="1"/>
        </dgm:presLayoutVars>
      </dgm:prSet>
      <dgm:spPr/>
    </dgm:pt>
    <dgm:pt modelId="{BA2477F3-9D30-4796-9A5F-5F22623B4ABB}" type="pres">
      <dgm:prSet presAssocID="{02E85E33-FC47-4CEA-9002-EAB510003E83}" presName="sp" presStyleCnt="0"/>
      <dgm:spPr/>
    </dgm:pt>
    <dgm:pt modelId="{F9F1CE51-F1AE-4BD7-B51F-14B592886DC7}" type="pres">
      <dgm:prSet presAssocID="{E0A34D57-6754-4859-8D2C-FA307F6680D1}" presName="arrowAndChildren" presStyleCnt="0"/>
      <dgm:spPr/>
    </dgm:pt>
    <dgm:pt modelId="{3F2A8343-AA17-44F7-B087-1F6E677F6BA5}" type="pres">
      <dgm:prSet presAssocID="{E0A34D57-6754-4859-8D2C-FA307F6680D1}" presName="parentTextArrow" presStyleLbl="node1" presStyleIdx="4" presStyleCnt="6"/>
      <dgm:spPr/>
    </dgm:pt>
    <dgm:pt modelId="{69CAACFD-CBEA-4A9B-86ED-146CD18D9EF7}" type="pres">
      <dgm:prSet presAssocID="{E0A34D57-6754-4859-8D2C-FA307F6680D1}" presName="arrow" presStyleLbl="node1" presStyleIdx="5" presStyleCnt="6" custLinFactNeighborX="177" custLinFactNeighborY="-265"/>
      <dgm:spPr/>
    </dgm:pt>
    <dgm:pt modelId="{CBD0D6B1-F588-4865-817F-BFAC37370A48}" type="pres">
      <dgm:prSet presAssocID="{E0A34D57-6754-4859-8D2C-FA307F6680D1}" presName="descendantArrow" presStyleCnt="0"/>
      <dgm:spPr/>
    </dgm:pt>
    <dgm:pt modelId="{1F855CBC-FAE5-4419-8518-5240BFCE31CD}" type="pres">
      <dgm:prSet presAssocID="{026905E2-D32A-459E-97DF-409B5D1B5C19}" presName="childTextArrow" presStyleLbl="fgAccFollowNode1" presStyleIdx="10" presStyleCnt="11">
        <dgm:presLayoutVars>
          <dgm:bulletEnabled val="1"/>
        </dgm:presLayoutVars>
      </dgm:prSet>
      <dgm:spPr/>
    </dgm:pt>
  </dgm:ptLst>
  <dgm:cxnLst>
    <dgm:cxn modelId="{6C2A7801-CE81-4095-9C18-88E11A54AFEA}" type="presOf" srcId="{8167AD5B-0B21-4238-B66F-D141DA51BADE}" destId="{004CE783-8F3C-4712-8A91-80965F783605}" srcOrd="0" destOrd="0" presId="urn:microsoft.com/office/officeart/2005/8/layout/process4"/>
    <dgm:cxn modelId="{11F11B05-4CF7-4DBE-8C3C-CA68D3EC701B}" type="presOf" srcId="{5CA91852-DCF0-45EB-8728-957B905E94B5}" destId="{E67DCCA9-3CF4-469F-9318-3B1E604C54DB}" srcOrd="1" destOrd="0" presId="urn:microsoft.com/office/officeart/2005/8/layout/process4"/>
    <dgm:cxn modelId="{E884EC1F-A110-43B9-BF5E-366CA9D5916A}" srcId="{AA7FCCAE-D667-4775-8EDC-5C781C3421B9}" destId="{0EF0C4A5-C816-4E04-B823-9DFE75B229B7}" srcOrd="2" destOrd="0" parTransId="{4A77A97B-C1B0-4E9A-B844-677C94758B1F}" sibTransId="{03128615-EC1F-4E3B-8FA7-C19D5B320BA1}"/>
    <dgm:cxn modelId="{82BA5524-5742-41C8-BF43-77929359BEE0}" srcId="{AA7FCCAE-D667-4775-8EDC-5C781C3421B9}" destId="{66C805A3-3A6E-4B66-99F7-E4003BF331C5}" srcOrd="4" destOrd="0" parTransId="{6F85530F-9E06-41D7-A5A2-D0EBC9DEAB1A}" sibTransId="{FEF431DE-C51F-4C6E-8088-99D903C6530B}"/>
    <dgm:cxn modelId="{55279425-0C93-4610-86D0-1D8216CBDFFA}" type="presOf" srcId="{1C826D57-3F2A-4B1D-A609-00FD5AC5ED11}" destId="{68C30AB2-9431-4A87-A0DC-53540F8C8CEF}" srcOrd="0" destOrd="0" presId="urn:microsoft.com/office/officeart/2005/8/layout/process4"/>
    <dgm:cxn modelId="{E9907427-1EB3-46C9-A17C-71EBD6213A8F}" type="presOf" srcId="{AA7FCCAE-D667-4775-8EDC-5C781C3421B9}" destId="{FCBB9FCA-78E6-4233-B95C-8635D1592395}" srcOrd="0" destOrd="0" presId="urn:microsoft.com/office/officeart/2005/8/layout/process4"/>
    <dgm:cxn modelId="{E5C14828-BAC4-490A-80A0-3C9ADF812E83}" type="presOf" srcId="{026905E2-D32A-459E-97DF-409B5D1B5C19}" destId="{1F855CBC-FAE5-4419-8518-5240BFCE31CD}" srcOrd="0" destOrd="0" presId="urn:microsoft.com/office/officeart/2005/8/layout/process4"/>
    <dgm:cxn modelId="{DB14BA2A-02E9-41DE-9228-89584832B9E4}" type="presOf" srcId="{578C0217-9CAF-4B09-9635-6E4124B623AD}" destId="{24A5D811-8AA4-42EE-A1C2-B9B81C8AA3A9}" srcOrd="0" destOrd="0" presId="urn:microsoft.com/office/officeart/2005/8/layout/process4"/>
    <dgm:cxn modelId="{6B88ED2A-C328-4AF1-9AF9-23699169B685}" type="presOf" srcId="{5CA91852-DCF0-45EB-8728-957B905E94B5}" destId="{A3DAF69F-CD02-4E96-BB52-FD36BCE21872}" srcOrd="0" destOrd="0" presId="urn:microsoft.com/office/officeart/2005/8/layout/process4"/>
    <dgm:cxn modelId="{610F032B-173A-47BB-9396-2F261D9E829B}" type="presOf" srcId="{256A7EE9-D70F-4A39-98BB-23DDC37CEA3D}" destId="{8A364CAB-1E89-44AD-A08D-1993D84E93FD}" srcOrd="0" destOrd="0" presId="urn:microsoft.com/office/officeart/2005/8/layout/process4"/>
    <dgm:cxn modelId="{A278A133-A4CD-41DB-83F2-15002480FBB7}" srcId="{66C805A3-3A6E-4B66-99F7-E4003BF331C5}" destId="{8167AD5B-0B21-4238-B66F-D141DA51BADE}" srcOrd="0" destOrd="0" parTransId="{E6961C15-732A-481B-BF06-83DA3A87D82A}" sibTransId="{783D7E6A-04B3-452B-8E0A-3AC0231479DC}"/>
    <dgm:cxn modelId="{69494D5D-0D05-4857-9CCB-F6905E5ACDF2}" srcId="{66C805A3-3A6E-4B66-99F7-E4003BF331C5}" destId="{18EBB3EB-D937-4240-B801-E360715CDF9B}" srcOrd="5" destOrd="0" parTransId="{52A84D40-7CD9-407A-9FDC-73750507FE07}" sibTransId="{51EA9EE2-40D2-41BF-BDA8-CF8798F5B2B7}"/>
    <dgm:cxn modelId="{CF6FE661-DB53-4F36-8CF3-98A0734802F0}" srcId="{E0A34D57-6754-4859-8D2C-FA307F6680D1}" destId="{026905E2-D32A-459E-97DF-409B5D1B5C19}" srcOrd="0" destOrd="0" parTransId="{329D1B8C-332E-4FCA-8550-900E12F62D66}" sibTransId="{3328B0D5-0451-4C70-8078-31F429B53141}"/>
    <dgm:cxn modelId="{10D66367-B3A8-4075-A62D-1E92B147B15C}" type="presOf" srcId="{66C805A3-3A6E-4B66-99F7-E4003BF331C5}" destId="{13D6BEE2-AA9A-40AD-8D27-390A4AD5DC93}" srcOrd="0" destOrd="0" presId="urn:microsoft.com/office/officeart/2005/8/layout/process4"/>
    <dgm:cxn modelId="{26E46A4E-9DB9-4508-AEFC-63D7B2085F83}" srcId="{AA7FCCAE-D667-4775-8EDC-5C781C3421B9}" destId="{E0A34D57-6754-4859-8D2C-FA307F6680D1}" srcOrd="0" destOrd="0" parTransId="{B90AD862-D19C-4104-82E0-0597EDF136A6}" sibTransId="{02E85E33-FC47-4CEA-9002-EAB510003E83}"/>
    <dgm:cxn modelId="{A3BE0550-022A-4DD0-9FD1-3F2B889621FD}" type="presOf" srcId="{18EBB3EB-D937-4240-B801-E360715CDF9B}" destId="{A215441E-CBAB-4759-A2A9-F9A9C41E32BB}" srcOrd="0" destOrd="0" presId="urn:microsoft.com/office/officeart/2005/8/layout/process4"/>
    <dgm:cxn modelId="{1F789F72-EE98-444E-9BFB-B22B1E1A6B54}" type="presOf" srcId="{E16789AF-F6BE-45C6-9CED-00EBF6037734}" destId="{3986D2AE-5B6C-44E3-AFE5-3C557977E2A1}" srcOrd="0" destOrd="0" presId="urn:microsoft.com/office/officeart/2005/8/layout/process4"/>
    <dgm:cxn modelId="{58967375-1C46-4764-85A4-7FD299417260}" srcId="{0EF0C4A5-C816-4E04-B823-9DFE75B229B7}" destId="{256A7EE9-D70F-4A39-98BB-23DDC37CEA3D}" srcOrd="0" destOrd="0" parTransId="{1873F6DC-B66B-41A8-9338-3474671E7C49}" sibTransId="{17EDEE2E-9E44-4C46-A5FD-955AB8BACDFB}"/>
    <dgm:cxn modelId="{9F1D8975-C084-40B0-9D71-8E21116CB538}" type="presOf" srcId="{6B790544-D04D-49E1-96AF-5AC4E3573284}" destId="{713B3611-E173-4860-93D5-A587EC426077}" srcOrd="0" destOrd="0" presId="urn:microsoft.com/office/officeart/2005/8/layout/process4"/>
    <dgm:cxn modelId="{548BF475-1B44-4E80-BEAE-244966E62F58}" type="presOf" srcId="{E0A34D57-6754-4859-8D2C-FA307F6680D1}" destId="{69CAACFD-CBEA-4A9B-86ED-146CD18D9EF7}" srcOrd="1" destOrd="0" presId="urn:microsoft.com/office/officeart/2005/8/layout/process4"/>
    <dgm:cxn modelId="{D337C87B-DFC1-410E-8249-84DCFB781331}" srcId="{66C805A3-3A6E-4B66-99F7-E4003BF331C5}" destId="{1C826D57-3F2A-4B1D-A609-00FD5AC5ED11}" srcOrd="1" destOrd="0" parTransId="{5D0AC63B-7382-4CCF-81AD-AA57FBEA1EC9}" sibTransId="{DDDF2835-32EE-46C6-A076-9F83E743CB10}"/>
    <dgm:cxn modelId="{C82C297D-D031-44D3-A62B-5636A96A5820}" srcId="{66C805A3-3A6E-4B66-99F7-E4003BF331C5}" destId="{578C0217-9CAF-4B09-9635-6E4124B623AD}" srcOrd="2" destOrd="0" parTransId="{402A7B9B-A6B6-4322-A4AB-F01B1DC785EB}" sibTransId="{A400EDE2-8D80-4B10-8BAE-663A7EE0B9F0}"/>
    <dgm:cxn modelId="{BD839280-9DFE-4FD7-86D0-50D1BF66B453}" type="presOf" srcId="{9A77BAF3-D653-44FB-B694-8A33CD0BCA2A}" destId="{070E7549-FCC9-406A-8C38-8F098315E2BB}" srcOrd="0" destOrd="0" presId="urn:microsoft.com/office/officeart/2005/8/layout/process4"/>
    <dgm:cxn modelId="{D8090588-7989-4A8F-918F-1545BBCD1EB9}" srcId="{AA7FCCAE-D667-4775-8EDC-5C781C3421B9}" destId="{B06CC94B-3C65-4E93-A8A8-757DCEFB8681}" srcOrd="1" destOrd="0" parTransId="{DB559255-F479-4249-8C8C-C79CD30C0A85}" sibTransId="{A8F7BB9D-7D19-4044-BC2B-1C5852949EBD}"/>
    <dgm:cxn modelId="{3A9EA689-2270-4FE4-9E41-BE30064F3BC7}" type="presOf" srcId="{0EF0C4A5-C816-4E04-B823-9DFE75B229B7}" destId="{FAE66B42-2DD2-4C94-BC86-46F8C5EE10C1}" srcOrd="0" destOrd="0" presId="urn:microsoft.com/office/officeart/2005/8/layout/process4"/>
    <dgm:cxn modelId="{A2804A93-46E6-49AD-AF1D-4FB0913CDA1C}" srcId="{66C805A3-3A6E-4B66-99F7-E4003BF331C5}" destId="{9A77BAF3-D653-44FB-B694-8A33CD0BCA2A}" srcOrd="4" destOrd="0" parTransId="{2265CBA2-7B37-4F39-BAEA-2D29B8128621}" sibTransId="{B9C0703C-99A7-4721-8512-AE655A7218FD}"/>
    <dgm:cxn modelId="{2A23A795-E169-488C-92DB-7C569B33A5F0}" srcId="{66C805A3-3A6E-4B66-99F7-E4003BF331C5}" destId="{E16789AF-F6BE-45C6-9CED-00EBF6037734}" srcOrd="3" destOrd="0" parTransId="{1D4F39DF-E4A6-4542-973A-30962A06E520}" sibTransId="{63E02353-FA64-42D8-8DFB-B6A07904D743}"/>
    <dgm:cxn modelId="{BCC87C99-5D07-4F3C-A194-6D8B65C0F2DD}" type="presOf" srcId="{28939D97-1550-4B38-AB2F-9DEB725F49F1}" destId="{2F1424CD-CC00-4FC9-B581-BD6950F0D8A6}" srcOrd="0" destOrd="0" presId="urn:microsoft.com/office/officeart/2005/8/layout/process4"/>
    <dgm:cxn modelId="{F272E69B-EB1B-4EAE-9E59-37D9F5B38904}" type="presOf" srcId="{B06CC94B-3C65-4E93-A8A8-757DCEFB8681}" destId="{5E2528C0-6A01-4F15-8E6C-25B6DE2DCE3C}" srcOrd="1" destOrd="0" presId="urn:microsoft.com/office/officeart/2005/8/layout/process4"/>
    <dgm:cxn modelId="{E4B642A3-E784-47F5-B3A5-F0D4D80358F4}" type="presOf" srcId="{CA22AB75-4846-4601-8884-63D1F94F0580}" destId="{A61580D8-5D54-4A50-9B59-716831587F22}" srcOrd="0" destOrd="0" presId="urn:microsoft.com/office/officeart/2005/8/layout/process4"/>
    <dgm:cxn modelId="{82C527A7-4C4C-4E37-AFE7-D20A5AAF068C}" srcId="{B06CC94B-3C65-4E93-A8A8-757DCEFB8681}" destId="{28939D97-1550-4B38-AB2F-9DEB725F49F1}" srcOrd="0" destOrd="0" parTransId="{2CB8CA15-B5CA-4754-A9D5-4BAC085C15E8}" sibTransId="{FDF5F3D9-1BDF-4551-9B82-5EBC720112BA}"/>
    <dgm:cxn modelId="{858E8CAC-57C8-415F-9B70-A0FA9A749357}" srcId="{AA7FCCAE-D667-4775-8EDC-5C781C3421B9}" destId="{5CA91852-DCF0-45EB-8728-957B905E94B5}" srcOrd="5" destOrd="0" parTransId="{464E4EEE-BBCF-4EFC-85B6-240CE5A330D0}" sibTransId="{3BA0A418-C9A5-4302-B739-C5D65432E548}"/>
    <dgm:cxn modelId="{F5F790B0-1AF2-4448-9D80-417F7F63A84D}" srcId="{AA7FCCAE-D667-4775-8EDC-5C781C3421B9}" destId="{6B790544-D04D-49E1-96AF-5AC4E3573284}" srcOrd="3" destOrd="0" parTransId="{57900B84-8199-4E0E-9577-28FF90C86B37}" sibTransId="{38C9721D-6741-4E6F-8894-35A2F1221DB3}"/>
    <dgm:cxn modelId="{31FFD2D3-6E4C-4457-B548-E4784F1FFC96}" type="presOf" srcId="{6B790544-D04D-49E1-96AF-5AC4E3573284}" destId="{E7CD5897-CDDB-443F-ABE4-70F3975DFE0A}" srcOrd="1" destOrd="0" presId="urn:microsoft.com/office/officeart/2005/8/layout/process4"/>
    <dgm:cxn modelId="{524FD1D6-9541-4495-8FCE-1525AAE112C2}" type="presOf" srcId="{B06CC94B-3C65-4E93-A8A8-757DCEFB8681}" destId="{23077A29-918E-4670-9442-AC539D42922E}" srcOrd="0" destOrd="0" presId="urn:microsoft.com/office/officeart/2005/8/layout/process4"/>
    <dgm:cxn modelId="{749B37D7-0E90-4964-AAAC-F2F245124789}" type="presOf" srcId="{66C805A3-3A6E-4B66-99F7-E4003BF331C5}" destId="{F4678D34-DD34-4141-8CEE-71C3167AD5FE}" srcOrd="1" destOrd="0" presId="urn:microsoft.com/office/officeart/2005/8/layout/process4"/>
    <dgm:cxn modelId="{CC3869E3-2A9C-4ED0-8B43-3A7CAA5FAEDA}" srcId="{6B790544-D04D-49E1-96AF-5AC4E3573284}" destId="{CA22AB75-4846-4601-8884-63D1F94F0580}" srcOrd="0" destOrd="0" parTransId="{D9C8B66A-07E8-4C01-ACFB-60F92B870CC4}" sibTransId="{426AA9E3-D0EB-4AD2-9EDE-C716966ED793}"/>
    <dgm:cxn modelId="{D87C6FE9-58EB-4B65-8BCC-83C7DD17F24A}" srcId="{5CA91852-DCF0-45EB-8728-957B905E94B5}" destId="{CE55F362-FB40-42E9-91E4-AF74A46081F5}" srcOrd="0" destOrd="0" parTransId="{995E9063-C156-4230-8369-223A27ADDD4C}" sibTransId="{E383E615-1AEC-4C2D-ACAA-D83E7589A11A}"/>
    <dgm:cxn modelId="{682440EE-F0B2-4E27-8BE2-476FE79152E0}" type="presOf" srcId="{0EF0C4A5-C816-4E04-B823-9DFE75B229B7}" destId="{2BF3F5AE-BD33-42A7-A7F4-6C6D14048D6A}" srcOrd="1" destOrd="0" presId="urn:microsoft.com/office/officeart/2005/8/layout/process4"/>
    <dgm:cxn modelId="{4F311AF0-278E-46F0-82E1-A26D93FA3CE9}" type="presOf" srcId="{E0A34D57-6754-4859-8D2C-FA307F6680D1}" destId="{3F2A8343-AA17-44F7-B087-1F6E677F6BA5}" srcOrd="0" destOrd="0" presId="urn:microsoft.com/office/officeart/2005/8/layout/process4"/>
    <dgm:cxn modelId="{79E7CDFF-FB23-4E45-AA44-EBDE15416336}" type="presOf" srcId="{CE55F362-FB40-42E9-91E4-AF74A46081F5}" destId="{0A464980-CB8A-4F29-AED0-93ADA0A4562E}" srcOrd="0" destOrd="0" presId="urn:microsoft.com/office/officeart/2005/8/layout/process4"/>
    <dgm:cxn modelId="{5128875F-EACD-4403-95D6-7DE9CD597713}" type="presParOf" srcId="{FCBB9FCA-78E6-4233-B95C-8635D1592395}" destId="{7CCE7D1B-B804-41EB-85CE-35721BDD4092}" srcOrd="0" destOrd="0" presId="urn:microsoft.com/office/officeart/2005/8/layout/process4"/>
    <dgm:cxn modelId="{FE526160-0C53-4EF7-9BCA-7DD11F24A2EA}" type="presParOf" srcId="{7CCE7D1B-B804-41EB-85CE-35721BDD4092}" destId="{A3DAF69F-CD02-4E96-BB52-FD36BCE21872}" srcOrd="0" destOrd="0" presId="urn:microsoft.com/office/officeart/2005/8/layout/process4"/>
    <dgm:cxn modelId="{49F532BA-3B47-418D-90F9-B990D108F2DC}" type="presParOf" srcId="{7CCE7D1B-B804-41EB-85CE-35721BDD4092}" destId="{E67DCCA9-3CF4-469F-9318-3B1E604C54DB}" srcOrd="1" destOrd="0" presId="urn:microsoft.com/office/officeart/2005/8/layout/process4"/>
    <dgm:cxn modelId="{5656DD82-1AE2-4A1E-911B-1CBC3701C64B}" type="presParOf" srcId="{7CCE7D1B-B804-41EB-85CE-35721BDD4092}" destId="{8F52580D-2583-4ED8-B136-08528F2D7C1D}" srcOrd="2" destOrd="0" presId="urn:microsoft.com/office/officeart/2005/8/layout/process4"/>
    <dgm:cxn modelId="{85825F4A-3F38-40CF-9E91-70372C5ED5A9}" type="presParOf" srcId="{8F52580D-2583-4ED8-B136-08528F2D7C1D}" destId="{0A464980-CB8A-4F29-AED0-93ADA0A4562E}" srcOrd="0" destOrd="0" presId="urn:microsoft.com/office/officeart/2005/8/layout/process4"/>
    <dgm:cxn modelId="{A01F6DC3-444B-4C04-9256-22DE4599E5A1}" type="presParOf" srcId="{FCBB9FCA-78E6-4233-B95C-8635D1592395}" destId="{F790AAF0-58EA-47BB-8701-7C378B16EB32}" srcOrd="1" destOrd="0" presId="urn:microsoft.com/office/officeart/2005/8/layout/process4"/>
    <dgm:cxn modelId="{7969ABD0-93BD-43B8-8404-84BDD0BD1E51}" type="presParOf" srcId="{FCBB9FCA-78E6-4233-B95C-8635D1592395}" destId="{922407DD-B236-42F0-A647-D17F697E13B1}" srcOrd="2" destOrd="0" presId="urn:microsoft.com/office/officeart/2005/8/layout/process4"/>
    <dgm:cxn modelId="{1DDBDB7B-06A0-405D-A1BC-93635E2FC185}" type="presParOf" srcId="{922407DD-B236-42F0-A647-D17F697E13B1}" destId="{13D6BEE2-AA9A-40AD-8D27-390A4AD5DC93}" srcOrd="0" destOrd="0" presId="urn:microsoft.com/office/officeart/2005/8/layout/process4"/>
    <dgm:cxn modelId="{FBECD787-7AD0-4A97-93BE-ACE309159FF4}" type="presParOf" srcId="{922407DD-B236-42F0-A647-D17F697E13B1}" destId="{F4678D34-DD34-4141-8CEE-71C3167AD5FE}" srcOrd="1" destOrd="0" presId="urn:microsoft.com/office/officeart/2005/8/layout/process4"/>
    <dgm:cxn modelId="{DE2B5212-156B-4C68-99E1-03150F8E3858}" type="presParOf" srcId="{922407DD-B236-42F0-A647-D17F697E13B1}" destId="{162C117E-1B10-4545-8270-1A7DEC79F6FB}" srcOrd="2" destOrd="0" presId="urn:microsoft.com/office/officeart/2005/8/layout/process4"/>
    <dgm:cxn modelId="{58A13290-4107-4D27-A9BC-470EF21EA2F3}" type="presParOf" srcId="{162C117E-1B10-4545-8270-1A7DEC79F6FB}" destId="{004CE783-8F3C-4712-8A91-80965F783605}" srcOrd="0" destOrd="0" presId="urn:microsoft.com/office/officeart/2005/8/layout/process4"/>
    <dgm:cxn modelId="{0EE1A1D0-B671-464E-8FE0-08C2EBA9C9EB}" type="presParOf" srcId="{162C117E-1B10-4545-8270-1A7DEC79F6FB}" destId="{68C30AB2-9431-4A87-A0DC-53540F8C8CEF}" srcOrd="1" destOrd="0" presId="urn:microsoft.com/office/officeart/2005/8/layout/process4"/>
    <dgm:cxn modelId="{44660BCF-9A98-432D-86DD-BA2120FD40A9}" type="presParOf" srcId="{162C117E-1B10-4545-8270-1A7DEC79F6FB}" destId="{24A5D811-8AA4-42EE-A1C2-B9B81C8AA3A9}" srcOrd="2" destOrd="0" presId="urn:microsoft.com/office/officeart/2005/8/layout/process4"/>
    <dgm:cxn modelId="{E2791DA3-5A6F-4486-A4A7-3BD5AF2B56ED}" type="presParOf" srcId="{162C117E-1B10-4545-8270-1A7DEC79F6FB}" destId="{3986D2AE-5B6C-44E3-AFE5-3C557977E2A1}" srcOrd="3" destOrd="0" presId="urn:microsoft.com/office/officeart/2005/8/layout/process4"/>
    <dgm:cxn modelId="{7CCD1021-49C6-44AA-9F6E-40D5BC3ECE11}" type="presParOf" srcId="{162C117E-1B10-4545-8270-1A7DEC79F6FB}" destId="{070E7549-FCC9-406A-8C38-8F098315E2BB}" srcOrd="4" destOrd="0" presId="urn:microsoft.com/office/officeart/2005/8/layout/process4"/>
    <dgm:cxn modelId="{0935B229-9B14-4CA6-A1DC-79B483BC8DEC}" type="presParOf" srcId="{162C117E-1B10-4545-8270-1A7DEC79F6FB}" destId="{A215441E-CBAB-4759-A2A9-F9A9C41E32BB}" srcOrd="5" destOrd="0" presId="urn:microsoft.com/office/officeart/2005/8/layout/process4"/>
    <dgm:cxn modelId="{4ADF2B6E-2211-43CC-B82C-8AA4D94D3F5E}" type="presParOf" srcId="{FCBB9FCA-78E6-4233-B95C-8635D1592395}" destId="{2E0CEA2A-64EF-40D4-8B01-34797E76C334}" srcOrd="3" destOrd="0" presId="urn:microsoft.com/office/officeart/2005/8/layout/process4"/>
    <dgm:cxn modelId="{EDD8EA5F-161A-4862-8097-7AD5F1B87954}" type="presParOf" srcId="{FCBB9FCA-78E6-4233-B95C-8635D1592395}" destId="{634E05E5-0A46-400B-9A4F-5D8E26CD90D3}" srcOrd="4" destOrd="0" presId="urn:microsoft.com/office/officeart/2005/8/layout/process4"/>
    <dgm:cxn modelId="{7057110F-9496-4C0B-81F7-C0AD3F6A430A}" type="presParOf" srcId="{634E05E5-0A46-400B-9A4F-5D8E26CD90D3}" destId="{713B3611-E173-4860-93D5-A587EC426077}" srcOrd="0" destOrd="0" presId="urn:microsoft.com/office/officeart/2005/8/layout/process4"/>
    <dgm:cxn modelId="{AF4DD895-9945-4334-A421-F2CC4553B3AD}" type="presParOf" srcId="{634E05E5-0A46-400B-9A4F-5D8E26CD90D3}" destId="{E7CD5897-CDDB-443F-ABE4-70F3975DFE0A}" srcOrd="1" destOrd="0" presId="urn:microsoft.com/office/officeart/2005/8/layout/process4"/>
    <dgm:cxn modelId="{0B3A1955-8AE5-47BE-8B8F-430BDBE012F5}" type="presParOf" srcId="{634E05E5-0A46-400B-9A4F-5D8E26CD90D3}" destId="{DC0614E7-81EB-47B2-AEE8-8910A60E8558}" srcOrd="2" destOrd="0" presId="urn:microsoft.com/office/officeart/2005/8/layout/process4"/>
    <dgm:cxn modelId="{3EA12D1E-C824-4F14-AEA0-FEFB585D9336}" type="presParOf" srcId="{DC0614E7-81EB-47B2-AEE8-8910A60E8558}" destId="{A61580D8-5D54-4A50-9B59-716831587F22}" srcOrd="0" destOrd="0" presId="urn:microsoft.com/office/officeart/2005/8/layout/process4"/>
    <dgm:cxn modelId="{CDF31DBF-B997-46C7-AAE8-E6350B1AFE5D}" type="presParOf" srcId="{FCBB9FCA-78E6-4233-B95C-8635D1592395}" destId="{1FE15C0D-DD2C-42BA-993A-804AB41D925B}" srcOrd="5" destOrd="0" presId="urn:microsoft.com/office/officeart/2005/8/layout/process4"/>
    <dgm:cxn modelId="{52183D34-2DF6-43D1-B4B6-917D3941C3AA}" type="presParOf" srcId="{FCBB9FCA-78E6-4233-B95C-8635D1592395}" destId="{FBAA159D-AB7F-41FA-8305-B4B4443A7338}" srcOrd="6" destOrd="0" presId="urn:microsoft.com/office/officeart/2005/8/layout/process4"/>
    <dgm:cxn modelId="{8C84320C-8969-4A27-AE2C-FCD8358FAEDD}" type="presParOf" srcId="{FBAA159D-AB7F-41FA-8305-B4B4443A7338}" destId="{FAE66B42-2DD2-4C94-BC86-46F8C5EE10C1}" srcOrd="0" destOrd="0" presId="urn:microsoft.com/office/officeart/2005/8/layout/process4"/>
    <dgm:cxn modelId="{07E835BC-69A9-45C0-A2C4-2DA5F96EC888}" type="presParOf" srcId="{FBAA159D-AB7F-41FA-8305-B4B4443A7338}" destId="{2BF3F5AE-BD33-42A7-A7F4-6C6D14048D6A}" srcOrd="1" destOrd="0" presId="urn:microsoft.com/office/officeart/2005/8/layout/process4"/>
    <dgm:cxn modelId="{2C0DD01E-990B-4239-8529-697C048D30D4}" type="presParOf" srcId="{FBAA159D-AB7F-41FA-8305-B4B4443A7338}" destId="{9EB03579-F360-4989-A424-50C13286F68D}" srcOrd="2" destOrd="0" presId="urn:microsoft.com/office/officeart/2005/8/layout/process4"/>
    <dgm:cxn modelId="{FB008470-58CF-423D-8C31-59BB0EC3F9AF}" type="presParOf" srcId="{9EB03579-F360-4989-A424-50C13286F68D}" destId="{8A364CAB-1E89-44AD-A08D-1993D84E93FD}" srcOrd="0" destOrd="0" presId="urn:microsoft.com/office/officeart/2005/8/layout/process4"/>
    <dgm:cxn modelId="{AA763536-D57B-485E-BFCE-6DFCA4026CF5}" type="presParOf" srcId="{FCBB9FCA-78E6-4233-B95C-8635D1592395}" destId="{C42B687B-4FC6-4E79-9512-70E5B3A4ED50}" srcOrd="7" destOrd="0" presId="urn:microsoft.com/office/officeart/2005/8/layout/process4"/>
    <dgm:cxn modelId="{5A400B84-8F4B-4E76-90EC-9316BCAAA21E}" type="presParOf" srcId="{FCBB9FCA-78E6-4233-B95C-8635D1592395}" destId="{7F78F53F-F0DB-4054-808E-7C3750E50423}" srcOrd="8" destOrd="0" presId="urn:microsoft.com/office/officeart/2005/8/layout/process4"/>
    <dgm:cxn modelId="{1F59832F-EF5E-4A32-93B9-C098EEB13CA9}" type="presParOf" srcId="{7F78F53F-F0DB-4054-808E-7C3750E50423}" destId="{23077A29-918E-4670-9442-AC539D42922E}" srcOrd="0" destOrd="0" presId="urn:microsoft.com/office/officeart/2005/8/layout/process4"/>
    <dgm:cxn modelId="{3FC37B74-ECA9-4ECD-894A-66F6DAB8559F}" type="presParOf" srcId="{7F78F53F-F0DB-4054-808E-7C3750E50423}" destId="{5E2528C0-6A01-4F15-8E6C-25B6DE2DCE3C}" srcOrd="1" destOrd="0" presId="urn:microsoft.com/office/officeart/2005/8/layout/process4"/>
    <dgm:cxn modelId="{5FBB2562-577F-4797-8E9C-D2774782306A}" type="presParOf" srcId="{7F78F53F-F0DB-4054-808E-7C3750E50423}" destId="{DCB5991A-4411-47F1-A1A1-08FD052E5162}" srcOrd="2" destOrd="0" presId="urn:microsoft.com/office/officeart/2005/8/layout/process4"/>
    <dgm:cxn modelId="{50463C18-E1A5-4FE4-A797-190D4B458226}" type="presParOf" srcId="{DCB5991A-4411-47F1-A1A1-08FD052E5162}" destId="{2F1424CD-CC00-4FC9-B581-BD6950F0D8A6}" srcOrd="0" destOrd="0" presId="urn:microsoft.com/office/officeart/2005/8/layout/process4"/>
    <dgm:cxn modelId="{79B3199A-FD02-4DA3-BD2B-607BADEA47D5}" type="presParOf" srcId="{FCBB9FCA-78E6-4233-B95C-8635D1592395}" destId="{BA2477F3-9D30-4796-9A5F-5F22623B4ABB}" srcOrd="9" destOrd="0" presId="urn:microsoft.com/office/officeart/2005/8/layout/process4"/>
    <dgm:cxn modelId="{00D13DB6-E503-4BD9-B1B6-385AF6A12911}" type="presParOf" srcId="{FCBB9FCA-78E6-4233-B95C-8635D1592395}" destId="{F9F1CE51-F1AE-4BD7-B51F-14B592886DC7}" srcOrd="10" destOrd="0" presId="urn:microsoft.com/office/officeart/2005/8/layout/process4"/>
    <dgm:cxn modelId="{8D6635D4-0F04-4424-9133-AEBAC2C33A1D}" type="presParOf" srcId="{F9F1CE51-F1AE-4BD7-B51F-14B592886DC7}" destId="{3F2A8343-AA17-44F7-B087-1F6E677F6BA5}" srcOrd="0" destOrd="0" presId="urn:microsoft.com/office/officeart/2005/8/layout/process4"/>
    <dgm:cxn modelId="{AE7A2553-DEA9-4096-BD5D-941DB879AFD1}" type="presParOf" srcId="{F9F1CE51-F1AE-4BD7-B51F-14B592886DC7}" destId="{69CAACFD-CBEA-4A9B-86ED-146CD18D9EF7}" srcOrd="1" destOrd="0" presId="urn:microsoft.com/office/officeart/2005/8/layout/process4"/>
    <dgm:cxn modelId="{47675268-E728-475E-9E1E-E2D2D2C78151}" type="presParOf" srcId="{F9F1CE51-F1AE-4BD7-B51F-14B592886DC7}" destId="{CBD0D6B1-F588-4865-817F-BFAC37370A48}" srcOrd="2" destOrd="0" presId="urn:microsoft.com/office/officeart/2005/8/layout/process4"/>
    <dgm:cxn modelId="{F438F3D4-5AF8-4742-8F2B-C310AF81EF8D}" type="presParOf" srcId="{CBD0D6B1-F588-4865-817F-BFAC37370A48}" destId="{1F855CBC-FAE5-4419-8518-5240BFCE31CD}" srcOrd="0" destOrd="0" presId="urn:microsoft.com/office/officeart/2005/8/layout/process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EDF7121-288E-4D67-9429-65EAB0C2A30B}" type="doc">
      <dgm:prSet loTypeId="urn:microsoft.com/office/officeart/2005/8/layout/lProcess2" loCatId="list" qsTypeId="urn:microsoft.com/office/officeart/2005/8/quickstyle/simple1#3" qsCatId="simple" csTypeId="urn:microsoft.com/office/officeart/2005/8/colors/accent1_2#2" csCatId="accent1" phldr="1"/>
      <dgm:spPr/>
      <dgm:t>
        <a:bodyPr/>
        <a:lstStyle/>
        <a:p>
          <a:endParaRPr lang="en-NZ"/>
        </a:p>
      </dgm:t>
    </dgm:pt>
    <dgm:pt modelId="{2E819CE6-EDDF-4FE9-A820-5493264A643C}">
      <dgm:prSet phldrT="[Text]"/>
      <dgm:spPr/>
      <dgm:t>
        <a:bodyPr/>
        <a:lstStyle/>
        <a:p>
          <a:r>
            <a:rPr lang="en-NZ"/>
            <a:t>RESILIENCE</a:t>
          </a:r>
        </a:p>
      </dgm:t>
    </dgm:pt>
    <dgm:pt modelId="{B6201859-1DD0-47D0-9D0F-18B0C3CE52B6}" type="parTrans" cxnId="{201F1A8B-C8CA-4C80-9624-BEEDDBB41B45}">
      <dgm:prSet/>
      <dgm:spPr/>
      <dgm:t>
        <a:bodyPr/>
        <a:lstStyle/>
        <a:p>
          <a:endParaRPr lang="en-NZ"/>
        </a:p>
      </dgm:t>
    </dgm:pt>
    <dgm:pt modelId="{94E16DAD-E208-4ED4-886F-FC727F4F7A5F}" type="sibTrans" cxnId="{201F1A8B-C8CA-4C80-9624-BEEDDBB41B45}">
      <dgm:prSet/>
      <dgm:spPr/>
      <dgm:t>
        <a:bodyPr/>
        <a:lstStyle/>
        <a:p>
          <a:endParaRPr lang="en-NZ"/>
        </a:p>
      </dgm:t>
    </dgm:pt>
    <dgm:pt modelId="{BF59967D-DF57-4F24-9693-D58E9A15C73E}">
      <dgm:prSet phldrT="[Text]"/>
      <dgm:spPr/>
      <dgm:t>
        <a:bodyPr/>
        <a:lstStyle/>
        <a:p>
          <a:r>
            <a:rPr lang="en-NZ"/>
            <a:t>Strengthen RESILIENCE by building knowledge and understanding of natural hazard risks to improve decision-making</a:t>
          </a:r>
        </a:p>
      </dgm:t>
    </dgm:pt>
    <dgm:pt modelId="{2CC1FAF5-EA8A-4753-AEB0-B3991BB9E8CA}" type="parTrans" cxnId="{26C85B60-A4B2-4110-B66D-B567B22D5695}">
      <dgm:prSet/>
      <dgm:spPr/>
      <dgm:t>
        <a:bodyPr/>
        <a:lstStyle/>
        <a:p>
          <a:endParaRPr lang="en-NZ"/>
        </a:p>
      </dgm:t>
    </dgm:pt>
    <dgm:pt modelId="{0FA0378B-EC5A-450F-BE6A-6D5FFA211495}" type="sibTrans" cxnId="{26C85B60-A4B2-4110-B66D-B567B22D5695}">
      <dgm:prSet/>
      <dgm:spPr/>
      <dgm:t>
        <a:bodyPr/>
        <a:lstStyle/>
        <a:p>
          <a:endParaRPr lang="en-NZ"/>
        </a:p>
      </dgm:t>
    </dgm:pt>
    <dgm:pt modelId="{36016CDD-DCE5-465D-9CEE-D1C4CE2FCDCC}">
      <dgm:prSet phldrT="[Text]"/>
      <dgm:spPr/>
      <dgm:t>
        <a:bodyPr/>
        <a:lstStyle/>
        <a:p>
          <a:r>
            <a:rPr lang="en-NZ"/>
            <a:t>READINESS</a:t>
          </a:r>
        </a:p>
      </dgm:t>
    </dgm:pt>
    <dgm:pt modelId="{118F5344-14F9-454B-8DE7-4F5C60162958}" type="parTrans" cxnId="{0DA0CCB2-D3DB-443F-90B6-B3632F9EEE00}">
      <dgm:prSet/>
      <dgm:spPr/>
      <dgm:t>
        <a:bodyPr/>
        <a:lstStyle/>
        <a:p>
          <a:endParaRPr lang="en-NZ"/>
        </a:p>
      </dgm:t>
    </dgm:pt>
    <dgm:pt modelId="{07EAC51B-DB3C-4D25-B90C-5ECDB3A9E54C}" type="sibTrans" cxnId="{0DA0CCB2-D3DB-443F-90B6-B3632F9EEE00}">
      <dgm:prSet/>
      <dgm:spPr/>
      <dgm:t>
        <a:bodyPr/>
        <a:lstStyle/>
        <a:p>
          <a:endParaRPr lang="en-NZ"/>
        </a:p>
      </dgm:t>
    </dgm:pt>
    <dgm:pt modelId="{E91534E4-D54E-4432-9833-D9ABFC8ABE24}">
      <dgm:prSet phldrT="[Text]"/>
      <dgm:spPr/>
      <dgm:t>
        <a:bodyPr/>
        <a:lstStyle/>
        <a:p>
          <a:r>
            <a:rPr lang="en-NZ"/>
            <a:t>Continuously enhance our READINESS for natural hazard events </a:t>
          </a:r>
        </a:p>
      </dgm:t>
    </dgm:pt>
    <dgm:pt modelId="{A4A003D9-0D7E-44C4-944D-D88BA8C97870}" type="parTrans" cxnId="{77E9FD3D-32BD-42CF-9A84-63E342DAC3A5}">
      <dgm:prSet/>
      <dgm:spPr/>
      <dgm:t>
        <a:bodyPr/>
        <a:lstStyle/>
        <a:p>
          <a:endParaRPr lang="en-NZ"/>
        </a:p>
      </dgm:t>
    </dgm:pt>
    <dgm:pt modelId="{18D30B8F-2414-4606-A892-6B218A637C37}" type="sibTrans" cxnId="{77E9FD3D-32BD-42CF-9A84-63E342DAC3A5}">
      <dgm:prSet/>
      <dgm:spPr/>
      <dgm:t>
        <a:bodyPr/>
        <a:lstStyle/>
        <a:p>
          <a:endParaRPr lang="en-NZ"/>
        </a:p>
      </dgm:t>
    </dgm:pt>
    <dgm:pt modelId="{E79E9E57-17A6-49E6-A943-9DB595FCD8A6}">
      <dgm:prSet phldrT="[Text]"/>
      <dgm:spPr/>
      <dgm:t>
        <a:bodyPr/>
        <a:lstStyle/>
        <a:p>
          <a:r>
            <a:rPr lang="en-NZ"/>
            <a:t>RISK FINANCING</a:t>
          </a:r>
        </a:p>
      </dgm:t>
    </dgm:pt>
    <dgm:pt modelId="{538E1204-0FAF-49D0-AFDD-FBDE5DC98189}" type="parTrans" cxnId="{7CC1C997-60F2-4203-B830-BB3793004841}">
      <dgm:prSet/>
      <dgm:spPr/>
      <dgm:t>
        <a:bodyPr/>
        <a:lstStyle/>
        <a:p>
          <a:endParaRPr lang="en-NZ"/>
        </a:p>
      </dgm:t>
    </dgm:pt>
    <dgm:pt modelId="{D2EBE58B-2979-47A8-A392-86EE95449B06}" type="sibTrans" cxnId="{7CC1C997-60F2-4203-B830-BB3793004841}">
      <dgm:prSet/>
      <dgm:spPr/>
      <dgm:t>
        <a:bodyPr/>
        <a:lstStyle/>
        <a:p>
          <a:endParaRPr lang="en-NZ"/>
        </a:p>
      </dgm:t>
    </dgm:pt>
    <dgm:pt modelId="{955DBFF6-AFA1-46C0-9903-63BF866F4984}">
      <dgm:prSet phldrT="[Text]"/>
      <dgm:spPr/>
      <dgm:t>
        <a:bodyPr/>
        <a:lstStyle/>
        <a:p>
          <a:r>
            <a:rPr lang="en-NZ"/>
            <a:t>Use our RISK FINANCING expertise to manage the fiscal risks of providing natural hazards insurance cover</a:t>
          </a:r>
        </a:p>
      </dgm:t>
    </dgm:pt>
    <dgm:pt modelId="{2AE2CFCB-FB56-4181-B0EE-BA0A1C3BC786}" type="parTrans" cxnId="{AFA8D04B-C9DB-4412-A522-9B24CB3581A0}">
      <dgm:prSet/>
      <dgm:spPr/>
      <dgm:t>
        <a:bodyPr/>
        <a:lstStyle/>
        <a:p>
          <a:endParaRPr lang="en-NZ"/>
        </a:p>
      </dgm:t>
    </dgm:pt>
    <dgm:pt modelId="{99429597-B2F6-4DC7-83B4-B3E8016E2A96}" type="sibTrans" cxnId="{AFA8D04B-C9DB-4412-A522-9B24CB3581A0}">
      <dgm:prSet/>
      <dgm:spPr/>
      <dgm:t>
        <a:bodyPr/>
        <a:lstStyle/>
        <a:p>
          <a:endParaRPr lang="en-NZ"/>
        </a:p>
      </dgm:t>
    </dgm:pt>
    <dgm:pt modelId="{F44E08B5-A0DC-4823-A0EE-1E00C59FE5ED}">
      <dgm:prSet phldrT="[Text]"/>
      <dgm:spPr/>
      <dgm:t>
        <a:bodyPr/>
        <a:lstStyle/>
        <a:p>
          <a:r>
            <a:rPr lang="en-NZ"/>
            <a:t>RECOVERY</a:t>
          </a:r>
        </a:p>
      </dgm:t>
    </dgm:pt>
    <dgm:pt modelId="{6F16B1AA-9197-4BE2-A81B-82F94C3DF44C}" type="parTrans" cxnId="{BD92196B-C449-4168-AB69-6561C811FDFF}">
      <dgm:prSet/>
      <dgm:spPr/>
      <dgm:t>
        <a:bodyPr/>
        <a:lstStyle/>
        <a:p>
          <a:endParaRPr lang="en-NZ"/>
        </a:p>
      </dgm:t>
    </dgm:pt>
    <dgm:pt modelId="{0100FB0B-A324-4043-99B0-2AD9F8314BF0}" type="sibTrans" cxnId="{BD92196B-C449-4168-AB69-6561C811FDFF}">
      <dgm:prSet/>
      <dgm:spPr/>
      <dgm:t>
        <a:bodyPr/>
        <a:lstStyle/>
        <a:p>
          <a:endParaRPr lang="en-NZ"/>
        </a:p>
      </dgm:t>
    </dgm:pt>
    <dgm:pt modelId="{371B4791-6C1A-414C-977A-88EF4DF1FCA8}">
      <dgm:prSet phldrT="[Text]"/>
      <dgm:spPr/>
      <dgm:t>
        <a:bodyPr/>
        <a:lstStyle/>
        <a:p>
          <a:r>
            <a:rPr lang="en-NZ"/>
            <a:t>Support homeowner and community RECOVERY by working with our partners to deliver a transparent, timely, high-quality and responsive process for natural hazards insurance claims</a:t>
          </a:r>
        </a:p>
      </dgm:t>
    </dgm:pt>
    <dgm:pt modelId="{8377C8C1-C15E-4485-875D-7922F00624F1}" type="parTrans" cxnId="{FB1A081A-8790-4807-A3BA-B02FED644EEC}">
      <dgm:prSet/>
      <dgm:spPr/>
      <dgm:t>
        <a:bodyPr/>
        <a:lstStyle/>
        <a:p>
          <a:endParaRPr lang="en-NZ"/>
        </a:p>
      </dgm:t>
    </dgm:pt>
    <dgm:pt modelId="{647A7F73-8C79-42BB-BF6B-4E858D14FCF6}" type="sibTrans" cxnId="{FB1A081A-8790-4807-A3BA-B02FED644EEC}">
      <dgm:prSet/>
      <dgm:spPr/>
      <dgm:t>
        <a:bodyPr/>
        <a:lstStyle/>
        <a:p>
          <a:endParaRPr lang="en-NZ"/>
        </a:p>
      </dgm:t>
    </dgm:pt>
    <dgm:pt modelId="{F2F6E557-B54A-4B8F-B576-5D8D84898022}" type="pres">
      <dgm:prSet presAssocID="{CEDF7121-288E-4D67-9429-65EAB0C2A30B}" presName="theList" presStyleCnt="0">
        <dgm:presLayoutVars>
          <dgm:dir/>
          <dgm:animLvl val="lvl"/>
          <dgm:resizeHandles val="exact"/>
        </dgm:presLayoutVars>
      </dgm:prSet>
      <dgm:spPr/>
    </dgm:pt>
    <dgm:pt modelId="{EAEA4634-53E2-44B3-896D-F71ED85FC6E9}" type="pres">
      <dgm:prSet presAssocID="{2E819CE6-EDDF-4FE9-A820-5493264A643C}" presName="compNode" presStyleCnt="0"/>
      <dgm:spPr/>
    </dgm:pt>
    <dgm:pt modelId="{623E5026-59A4-478D-BBC2-0E368448D3AA}" type="pres">
      <dgm:prSet presAssocID="{2E819CE6-EDDF-4FE9-A820-5493264A643C}" presName="aNode" presStyleLbl="bgShp" presStyleIdx="0" presStyleCnt="4"/>
      <dgm:spPr/>
    </dgm:pt>
    <dgm:pt modelId="{8EAFBE52-F3D5-4F6E-9F7D-F94CD554BDF5}" type="pres">
      <dgm:prSet presAssocID="{2E819CE6-EDDF-4FE9-A820-5493264A643C}" presName="textNode" presStyleLbl="bgShp" presStyleIdx="0" presStyleCnt="4"/>
      <dgm:spPr/>
    </dgm:pt>
    <dgm:pt modelId="{321589D5-029A-41F5-BB61-405FC31E495B}" type="pres">
      <dgm:prSet presAssocID="{2E819CE6-EDDF-4FE9-A820-5493264A643C}" presName="compChildNode" presStyleCnt="0"/>
      <dgm:spPr/>
    </dgm:pt>
    <dgm:pt modelId="{7AE598E1-0982-4B5B-8F59-1F75AC39689A}" type="pres">
      <dgm:prSet presAssocID="{2E819CE6-EDDF-4FE9-A820-5493264A643C}" presName="theInnerList" presStyleCnt="0"/>
      <dgm:spPr/>
    </dgm:pt>
    <dgm:pt modelId="{362BEB09-CAC5-4219-A1D7-5F430CCB3208}" type="pres">
      <dgm:prSet presAssocID="{BF59967D-DF57-4F24-9693-D58E9A15C73E}" presName="childNode" presStyleLbl="node1" presStyleIdx="0" presStyleCnt="4">
        <dgm:presLayoutVars>
          <dgm:bulletEnabled val="1"/>
        </dgm:presLayoutVars>
      </dgm:prSet>
      <dgm:spPr/>
    </dgm:pt>
    <dgm:pt modelId="{434FB3EF-9137-49C5-BF49-F8938AC786BE}" type="pres">
      <dgm:prSet presAssocID="{2E819CE6-EDDF-4FE9-A820-5493264A643C}" presName="aSpace" presStyleCnt="0"/>
      <dgm:spPr/>
    </dgm:pt>
    <dgm:pt modelId="{B735B704-B1A7-420B-9C75-F6D895D319D4}" type="pres">
      <dgm:prSet presAssocID="{36016CDD-DCE5-465D-9CEE-D1C4CE2FCDCC}" presName="compNode" presStyleCnt="0"/>
      <dgm:spPr/>
    </dgm:pt>
    <dgm:pt modelId="{AC2B49D8-961E-4825-82FE-0F15096EEF99}" type="pres">
      <dgm:prSet presAssocID="{36016CDD-DCE5-465D-9CEE-D1C4CE2FCDCC}" presName="aNode" presStyleLbl="bgShp" presStyleIdx="1" presStyleCnt="4"/>
      <dgm:spPr/>
    </dgm:pt>
    <dgm:pt modelId="{BD424DEA-B600-4A45-98F2-4A8B0A57B779}" type="pres">
      <dgm:prSet presAssocID="{36016CDD-DCE5-465D-9CEE-D1C4CE2FCDCC}" presName="textNode" presStyleLbl="bgShp" presStyleIdx="1" presStyleCnt="4"/>
      <dgm:spPr/>
    </dgm:pt>
    <dgm:pt modelId="{8D2D8559-B3E4-4109-8C98-CF3904C601EC}" type="pres">
      <dgm:prSet presAssocID="{36016CDD-DCE5-465D-9CEE-D1C4CE2FCDCC}" presName="compChildNode" presStyleCnt="0"/>
      <dgm:spPr/>
    </dgm:pt>
    <dgm:pt modelId="{2814DBC9-342B-4444-ACE7-CBC390B6B433}" type="pres">
      <dgm:prSet presAssocID="{36016CDD-DCE5-465D-9CEE-D1C4CE2FCDCC}" presName="theInnerList" presStyleCnt="0"/>
      <dgm:spPr/>
    </dgm:pt>
    <dgm:pt modelId="{74E63576-6275-43E1-BFAD-5CF6D43024D5}" type="pres">
      <dgm:prSet presAssocID="{E91534E4-D54E-4432-9833-D9ABFC8ABE24}" presName="childNode" presStyleLbl="node1" presStyleIdx="1" presStyleCnt="4">
        <dgm:presLayoutVars>
          <dgm:bulletEnabled val="1"/>
        </dgm:presLayoutVars>
      </dgm:prSet>
      <dgm:spPr/>
    </dgm:pt>
    <dgm:pt modelId="{A430CC1C-1B30-4F20-821E-54C911F1DB4C}" type="pres">
      <dgm:prSet presAssocID="{36016CDD-DCE5-465D-9CEE-D1C4CE2FCDCC}" presName="aSpace" presStyleCnt="0"/>
      <dgm:spPr/>
    </dgm:pt>
    <dgm:pt modelId="{D84B0379-16A4-4413-BBA2-3BAC8AE8EABC}" type="pres">
      <dgm:prSet presAssocID="{E79E9E57-17A6-49E6-A943-9DB595FCD8A6}" presName="compNode" presStyleCnt="0"/>
      <dgm:spPr/>
    </dgm:pt>
    <dgm:pt modelId="{6815B765-30FF-48D9-BB42-7E207169C837}" type="pres">
      <dgm:prSet presAssocID="{E79E9E57-17A6-49E6-A943-9DB595FCD8A6}" presName="aNode" presStyleLbl="bgShp" presStyleIdx="2" presStyleCnt="4"/>
      <dgm:spPr/>
    </dgm:pt>
    <dgm:pt modelId="{3BACF594-034E-4FCE-BF6A-4B2D7E0FB330}" type="pres">
      <dgm:prSet presAssocID="{E79E9E57-17A6-49E6-A943-9DB595FCD8A6}" presName="textNode" presStyleLbl="bgShp" presStyleIdx="2" presStyleCnt="4"/>
      <dgm:spPr/>
    </dgm:pt>
    <dgm:pt modelId="{D44B1519-14F2-4BE1-AA00-42CEF9A13D09}" type="pres">
      <dgm:prSet presAssocID="{E79E9E57-17A6-49E6-A943-9DB595FCD8A6}" presName="compChildNode" presStyleCnt="0"/>
      <dgm:spPr/>
    </dgm:pt>
    <dgm:pt modelId="{ACF2A75B-92E6-42A8-B3DB-42549652F199}" type="pres">
      <dgm:prSet presAssocID="{E79E9E57-17A6-49E6-A943-9DB595FCD8A6}" presName="theInnerList" presStyleCnt="0"/>
      <dgm:spPr/>
    </dgm:pt>
    <dgm:pt modelId="{6839DD92-CD5E-484D-8B93-437035E16304}" type="pres">
      <dgm:prSet presAssocID="{955DBFF6-AFA1-46C0-9903-63BF866F4984}" presName="childNode" presStyleLbl="node1" presStyleIdx="2" presStyleCnt="4">
        <dgm:presLayoutVars>
          <dgm:bulletEnabled val="1"/>
        </dgm:presLayoutVars>
      </dgm:prSet>
      <dgm:spPr/>
    </dgm:pt>
    <dgm:pt modelId="{D624604E-4708-4872-8E77-FA05D698A442}" type="pres">
      <dgm:prSet presAssocID="{E79E9E57-17A6-49E6-A943-9DB595FCD8A6}" presName="aSpace" presStyleCnt="0"/>
      <dgm:spPr/>
    </dgm:pt>
    <dgm:pt modelId="{3007DCDB-1887-47F4-8F3A-E59D533515A8}" type="pres">
      <dgm:prSet presAssocID="{F44E08B5-A0DC-4823-A0EE-1E00C59FE5ED}" presName="compNode" presStyleCnt="0"/>
      <dgm:spPr/>
    </dgm:pt>
    <dgm:pt modelId="{9B1FE7B8-A07A-46A5-93FF-0B4B1047882A}" type="pres">
      <dgm:prSet presAssocID="{F44E08B5-A0DC-4823-A0EE-1E00C59FE5ED}" presName="aNode" presStyleLbl="bgShp" presStyleIdx="3" presStyleCnt="4"/>
      <dgm:spPr/>
    </dgm:pt>
    <dgm:pt modelId="{7AC3E758-A667-4CF5-9140-8429BDD07FD3}" type="pres">
      <dgm:prSet presAssocID="{F44E08B5-A0DC-4823-A0EE-1E00C59FE5ED}" presName="textNode" presStyleLbl="bgShp" presStyleIdx="3" presStyleCnt="4"/>
      <dgm:spPr/>
    </dgm:pt>
    <dgm:pt modelId="{83724396-0003-4387-B086-C8CA8CC165CE}" type="pres">
      <dgm:prSet presAssocID="{F44E08B5-A0DC-4823-A0EE-1E00C59FE5ED}" presName="compChildNode" presStyleCnt="0"/>
      <dgm:spPr/>
    </dgm:pt>
    <dgm:pt modelId="{D80FB082-D977-458C-B58B-C2867F8E18F3}" type="pres">
      <dgm:prSet presAssocID="{F44E08B5-A0DC-4823-A0EE-1E00C59FE5ED}" presName="theInnerList" presStyleCnt="0"/>
      <dgm:spPr/>
    </dgm:pt>
    <dgm:pt modelId="{68692399-9CDA-431A-8D37-8071F25C6976}" type="pres">
      <dgm:prSet presAssocID="{371B4791-6C1A-414C-977A-88EF4DF1FCA8}" presName="childNode" presStyleLbl="node1" presStyleIdx="3" presStyleCnt="4">
        <dgm:presLayoutVars>
          <dgm:bulletEnabled val="1"/>
        </dgm:presLayoutVars>
      </dgm:prSet>
      <dgm:spPr/>
    </dgm:pt>
  </dgm:ptLst>
  <dgm:cxnLst>
    <dgm:cxn modelId="{82FCCF05-8696-4FC8-B079-756D02C0410C}" type="presOf" srcId="{BF59967D-DF57-4F24-9693-D58E9A15C73E}" destId="{362BEB09-CAC5-4219-A1D7-5F430CCB3208}" srcOrd="0" destOrd="0" presId="urn:microsoft.com/office/officeart/2005/8/layout/lProcess2"/>
    <dgm:cxn modelId="{2631AB17-17FA-4193-92F8-C1A20FD6F656}" type="presOf" srcId="{2E819CE6-EDDF-4FE9-A820-5493264A643C}" destId="{8EAFBE52-F3D5-4F6E-9F7D-F94CD554BDF5}" srcOrd="1" destOrd="0" presId="urn:microsoft.com/office/officeart/2005/8/layout/lProcess2"/>
    <dgm:cxn modelId="{FB1A081A-8790-4807-A3BA-B02FED644EEC}" srcId="{F44E08B5-A0DC-4823-A0EE-1E00C59FE5ED}" destId="{371B4791-6C1A-414C-977A-88EF4DF1FCA8}" srcOrd="0" destOrd="0" parTransId="{8377C8C1-C15E-4485-875D-7922F00624F1}" sibTransId="{647A7F73-8C79-42BB-BF6B-4E858D14FCF6}"/>
    <dgm:cxn modelId="{21AA6526-9578-4430-9B3C-9250EDE650BC}" type="presOf" srcId="{E79E9E57-17A6-49E6-A943-9DB595FCD8A6}" destId="{3BACF594-034E-4FCE-BF6A-4B2D7E0FB330}" srcOrd="1" destOrd="0" presId="urn:microsoft.com/office/officeart/2005/8/layout/lProcess2"/>
    <dgm:cxn modelId="{77E9FD3D-32BD-42CF-9A84-63E342DAC3A5}" srcId="{36016CDD-DCE5-465D-9CEE-D1C4CE2FCDCC}" destId="{E91534E4-D54E-4432-9833-D9ABFC8ABE24}" srcOrd="0" destOrd="0" parTransId="{A4A003D9-0D7E-44C4-944D-D88BA8C97870}" sibTransId="{18D30B8F-2414-4606-A892-6B218A637C37}"/>
    <dgm:cxn modelId="{26C85B60-A4B2-4110-B66D-B567B22D5695}" srcId="{2E819CE6-EDDF-4FE9-A820-5493264A643C}" destId="{BF59967D-DF57-4F24-9693-D58E9A15C73E}" srcOrd="0" destOrd="0" parTransId="{2CC1FAF5-EA8A-4753-AEB0-B3991BB9E8CA}" sibTransId="{0FA0378B-EC5A-450F-BE6A-6D5FFA211495}"/>
    <dgm:cxn modelId="{5CE73666-B701-47AD-A05D-BA6898309E0E}" type="presOf" srcId="{955DBFF6-AFA1-46C0-9903-63BF866F4984}" destId="{6839DD92-CD5E-484D-8B93-437035E16304}" srcOrd="0" destOrd="0" presId="urn:microsoft.com/office/officeart/2005/8/layout/lProcess2"/>
    <dgm:cxn modelId="{BD92196B-C449-4168-AB69-6561C811FDFF}" srcId="{CEDF7121-288E-4D67-9429-65EAB0C2A30B}" destId="{F44E08B5-A0DC-4823-A0EE-1E00C59FE5ED}" srcOrd="3" destOrd="0" parTransId="{6F16B1AA-9197-4BE2-A81B-82F94C3DF44C}" sibTransId="{0100FB0B-A324-4043-99B0-2AD9F8314BF0}"/>
    <dgm:cxn modelId="{AFA8D04B-C9DB-4412-A522-9B24CB3581A0}" srcId="{E79E9E57-17A6-49E6-A943-9DB595FCD8A6}" destId="{955DBFF6-AFA1-46C0-9903-63BF866F4984}" srcOrd="0" destOrd="0" parTransId="{2AE2CFCB-FB56-4181-B0EE-BA0A1C3BC786}" sibTransId="{99429597-B2F6-4DC7-83B4-B3E8016E2A96}"/>
    <dgm:cxn modelId="{2275B858-EE8F-43C1-AD59-A1FFA1EB29CB}" type="presOf" srcId="{E79E9E57-17A6-49E6-A943-9DB595FCD8A6}" destId="{6815B765-30FF-48D9-BB42-7E207169C837}" srcOrd="0" destOrd="0" presId="urn:microsoft.com/office/officeart/2005/8/layout/lProcess2"/>
    <dgm:cxn modelId="{201F1A8B-C8CA-4C80-9624-BEEDDBB41B45}" srcId="{CEDF7121-288E-4D67-9429-65EAB0C2A30B}" destId="{2E819CE6-EDDF-4FE9-A820-5493264A643C}" srcOrd="0" destOrd="0" parTransId="{B6201859-1DD0-47D0-9D0F-18B0C3CE52B6}" sibTransId="{94E16DAD-E208-4ED4-886F-FC727F4F7A5F}"/>
    <dgm:cxn modelId="{7CC1C997-60F2-4203-B830-BB3793004841}" srcId="{CEDF7121-288E-4D67-9429-65EAB0C2A30B}" destId="{E79E9E57-17A6-49E6-A943-9DB595FCD8A6}" srcOrd="2" destOrd="0" parTransId="{538E1204-0FAF-49D0-AFDD-FBDE5DC98189}" sibTransId="{D2EBE58B-2979-47A8-A392-86EE95449B06}"/>
    <dgm:cxn modelId="{0DA0CCB2-D3DB-443F-90B6-B3632F9EEE00}" srcId="{CEDF7121-288E-4D67-9429-65EAB0C2A30B}" destId="{36016CDD-DCE5-465D-9CEE-D1C4CE2FCDCC}" srcOrd="1" destOrd="0" parTransId="{118F5344-14F9-454B-8DE7-4F5C60162958}" sibTransId="{07EAC51B-DB3C-4D25-B90C-5ECDB3A9E54C}"/>
    <dgm:cxn modelId="{70CAB8B7-260F-4229-89FE-2D7F7079E453}" type="presOf" srcId="{371B4791-6C1A-414C-977A-88EF4DF1FCA8}" destId="{68692399-9CDA-431A-8D37-8071F25C6976}" srcOrd="0" destOrd="0" presId="urn:microsoft.com/office/officeart/2005/8/layout/lProcess2"/>
    <dgm:cxn modelId="{472228BA-2065-4E45-AEEB-2FBFB56546C5}" type="presOf" srcId="{36016CDD-DCE5-465D-9CEE-D1C4CE2FCDCC}" destId="{BD424DEA-B600-4A45-98F2-4A8B0A57B779}" srcOrd="1" destOrd="0" presId="urn:microsoft.com/office/officeart/2005/8/layout/lProcess2"/>
    <dgm:cxn modelId="{F9364BBB-1C53-4291-8D18-BA7BA58184AE}" type="presOf" srcId="{36016CDD-DCE5-465D-9CEE-D1C4CE2FCDCC}" destId="{AC2B49D8-961E-4825-82FE-0F15096EEF99}" srcOrd="0" destOrd="0" presId="urn:microsoft.com/office/officeart/2005/8/layout/lProcess2"/>
    <dgm:cxn modelId="{5F0D1CBC-B222-42BF-B12E-CF88297C2121}" type="presOf" srcId="{E91534E4-D54E-4432-9833-D9ABFC8ABE24}" destId="{74E63576-6275-43E1-BFAD-5CF6D43024D5}" srcOrd="0" destOrd="0" presId="urn:microsoft.com/office/officeart/2005/8/layout/lProcess2"/>
    <dgm:cxn modelId="{A5875CC4-C49D-4701-B89D-409E57833833}" type="presOf" srcId="{F44E08B5-A0DC-4823-A0EE-1E00C59FE5ED}" destId="{9B1FE7B8-A07A-46A5-93FF-0B4B1047882A}" srcOrd="0" destOrd="0" presId="urn:microsoft.com/office/officeart/2005/8/layout/lProcess2"/>
    <dgm:cxn modelId="{56E4B3C9-CE66-47DC-B3B7-7AC877D9FE01}" type="presOf" srcId="{F44E08B5-A0DC-4823-A0EE-1E00C59FE5ED}" destId="{7AC3E758-A667-4CF5-9140-8429BDD07FD3}" srcOrd="1" destOrd="0" presId="urn:microsoft.com/office/officeart/2005/8/layout/lProcess2"/>
    <dgm:cxn modelId="{612E2ED0-792C-41E2-A12D-B35480410F06}" type="presOf" srcId="{2E819CE6-EDDF-4FE9-A820-5493264A643C}" destId="{623E5026-59A4-478D-BBC2-0E368448D3AA}" srcOrd="0" destOrd="0" presId="urn:microsoft.com/office/officeart/2005/8/layout/lProcess2"/>
    <dgm:cxn modelId="{F7631CD8-ADE4-498C-8B0B-EC30ED21FF91}" type="presOf" srcId="{CEDF7121-288E-4D67-9429-65EAB0C2A30B}" destId="{F2F6E557-B54A-4B8F-B576-5D8D84898022}" srcOrd="0" destOrd="0" presId="urn:microsoft.com/office/officeart/2005/8/layout/lProcess2"/>
    <dgm:cxn modelId="{345915CD-BA11-40EF-811C-C6103B0D8980}" type="presParOf" srcId="{F2F6E557-B54A-4B8F-B576-5D8D84898022}" destId="{EAEA4634-53E2-44B3-896D-F71ED85FC6E9}" srcOrd="0" destOrd="0" presId="urn:microsoft.com/office/officeart/2005/8/layout/lProcess2"/>
    <dgm:cxn modelId="{E4EDE14D-89DD-4B31-B071-919B38841E29}" type="presParOf" srcId="{EAEA4634-53E2-44B3-896D-F71ED85FC6E9}" destId="{623E5026-59A4-478D-BBC2-0E368448D3AA}" srcOrd="0" destOrd="0" presId="urn:microsoft.com/office/officeart/2005/8/layout/lProcess2"/>
    <dgm:cxn modelId="{9D1C7DF2-04FB-487B-AB60-950E2F090128}" type="presParOf" srcId="{EAEA4634-53E2-44B3-896D-F71ED85FC6E9}" destId="{8EAFBE52-F3D5-4F6E-9F7D-F94CD554BDF5}" srcOrd="1" destOrd="0" presId="urn:microsoft.com/office/officeart/2005/8/layout/lProcess2"/>
    <dgm:cxn modelId="{2B070FE8-2C6C-44D5-BE97-9AAEAF6745FC}" type="presParOf" srcId="{EAEA4634-53E2-44B3-896D-F71ED85FC6E9}" destId="{321589D5-029A-41F5-BB61-405FC31E495B}" srcOrd="2" destOrd="0" presId="urn:microsoft.com/office/officeart/2005/8/layout/lProcess2"/>
    <dgm:cxn modelId="{6A493D76-0619-4C21-B059-E7817A50B516}" type="presParOf" srcId="{321589D5-029A-41F5-BB61-405FC31E495B}" destId="{7AE598E1-0982-4B5B-8F59-1F75AC39689A}" srcOrd="0" destOrd="0" presId="urn:microsoft.com/office/officeart/2005/8/layout/lProcess2"/>
    <dgm:cxn modelId="{324E3349-C687-4DB2-9636-982F8B993DC3}" type="presParOf" srcId="{7AE598E1-0982-4B5B-8F59-1F75AC39689A}" destId="{362BEB09-CAC5-4219-A1D7-5F430CCB3208}" srcOrd="0" destOrd="0" presId="urn:microsoft.com/office/officeart/2005/8/layout/lProcess2"/>
    <dgm:cxn modelId="{E313F89C-FF3A-404E-8581-7923559D2931}" type="presParOf" srcId="{F2F6E557-B54A-4B8F-B576-5D8D84898022}" destId="{434FB3EF-9137-49C5-BF49-F8938AC786BE}" srcOrd="1" destOrd="0" presId="urn:microsoft.com/office/officeart/2005/8/layout/lProcess2"/>
    <dgm:cxn modelId="{992CC2BA-CC0B-491B-ABFE-D69F5DF972E6}" type="presParOf" srcId="{F2F6E557-B54A-4B8F-B576-5D8D84898022}" destId="{B735B704-B1A7-420B-9C75-F6D895D319D4}" srcOrd="2" destOrd="0" presId="urn:microsoft.com/office/officeart/2005/8/layout/lProcess2"/>
    <dgm:cxn modelId="{4DE4951B-8212-4A3F-B857-A1BBE237C947}" type="presParOf" srcId="{B735B704-B1A7-420B-9C75-F6D895D319D4}" destId="{AC2B49D8-961E-4825-82FE-0F15096EEF99}" srcOrd="0" destOrd="0" presId="urn:microsoft.com/office/officeart/2005/8/layout/lProcess2"/>
    <dgm:cxn modelId="{E3EC3189-BD88-49CD-88D3-B2AEA2D43E40}" type="presParOf" srcId="{B735B704-B1A7-420B-9C75-F6D895D319D4}" destId="{BD424DEA-B600-4A45-98F2-4A8B0A57B779}" srcOrd="1" destOrd="0" presId="urn:microsoft.com/office/officeart/2005/8/layout/lProcess2"/>
    <dgm:cxn modelId="{55F4EB7B-C018-40AA-8FEB-E9BA151956AB}" type="presParOf" srcId="{B735B704-B1A7-420B-9C75-F6D895D319D4}" destId="{8D2D8559-B3E4-4109-8C98-CF3904C601EC}" srcOrd="2" destOrd="0" presId="urn:microsoft.com/office/officeart/2005/8/layout/lProcess2"/>
    <dgm:cxn modelId="{A25C96A0-29D8-4238-829D-37409BEF05AE}" type="presParOf" srcId="{8D2D8559-B3E4-4109-8C98-CF3904C601EC}" destId="{2814DBC9-342B-4444-ACE7-CBC390B6B433}" srcOrd="0" destOrd="0" presId="urn:microsoft.com/office/officeart/2005/8/layout/lProcess2"/>
    <dgm:cxn modelId="{CB747431-9CC0-4EC2-88FE-9952953F89D2}" type="presParOf" srcId="{2814DBC9-342B-4444-ACE7-CBC390B6B433}" destId="{74E63576-6275-43E1-BFAD-5CF6D43024D5}" srcOrd="0" destOrd="0" presId="urn:microsoft.com/office/officeart/2005/8/layout/lProcess2"/>
    <dgm:cxn modelId="{534D02E1-D11D-49FC-A875-DE4085351976}" type="presParOf" srcId="{F2F6E557-B54A-4B8F-B576-5D8D84898022}" destId="{A430CC1C-1B30-4F20-821E-54C911F1DB4C}" srcOrd="3" destOrd="0" presId="urn:microsoft.com/office/officeart/2005/8/layout/lProcess2"/>
    <dgm:cxn modelId="{A4B2D0BB-3954-44A1-BBC6-3DFCD41F7223}" type="presParOf" srcId="{F2F6E557-B54A-4B8F-B576-5D8D84898022}" destId="{D84B0379-16A4-4413-BBA2-3BAC8AE8EABC}" srcOrd="4" destOrd="0" presId="urn:microsoft.com/office/officeart/2005/8/layout/lProcess2"/>
    <dgm:cxn modelId="{A6990272-F165-4F7C-88DF-C8106769C4AF}" type="presParOf" srcId="{D84B0379-16A4-4413-BBA2-3BAC8AE8EABC}" destId="{6815B765-30FF-48D9-BB42-7E207169C837}" srcOrd="0" destOrd="0" presId="urn:microsoft.com/office/officeart/2005/8/layout/lProcess2"/>
    <dgm:cxn modelId="{FBBEF488-0220-4A07-8267-00064D95732C}" type="presParOf" srcId="{D84B0379-16A4-4413-BBA2-3BAC8AE8EABC}" destId="{3BACF594-034E-4FCE-BF6A-4B2D7E0FB330}" srcOrd="1" destOrd="0" presId="urn:microsoft.com/office/officeart/2005/8/layout/lProcess2"/>
    <dgm:cxn modelId="{72665C7B-D673-4DAA-A20E-33DD7563D40A}" type="presParOf" srcId="{D84B0379-16A4-4413-BBA2-3BAC8AE8EABC}" destId="{D44B1519-14F2-4BE1-AA00-42CEF9A13D09}" srcOrd="2" destOrd="0" presId="urn:microsoft.com/office/officeart/2005/8/layout/lProcess2"/>
    <dgm:cxn modelId="{C36C5669-DE00-44AB-9C02-9172F005FF1D}" type="presParOf" srcId="{D44B1519-14F2-4BE1-AA00-42CEF9A13D09}" destId="{ACF2A75B-92E6-42A8-B3DB-42549652F199}" srcOrd="0" destOrd="0" presId="urn:microsoft.com/office/officeart/2005/8/layout/lProcess2"/>
    <dgm:cxn modelId="{D5BDA316-F5B5-4158-A21E-7A02045BA5BF}" type="presParOf" srcId="{ACF2A75B-92E6-42A8-B3DB-42549652F199}" destId="{6839DD92-CD5E-484D-8B93-437035E16304}" srcOrd="0" destOrd="0" presId="urn:microsoft.com/office/officeart/2005/8/layout/lProcess2"/>
    <dgm:cxn modelId="{CB643079-46AB-4560-848F-621BE4003A95}" type="presParOf" srcId="{F2F6E557-B54A-4B8F-B576-5D8D84898022}" destId="{D624604E-4708-4872-8E77-FA05D698A442}" srcOrd="5" destOrd="0" presId="urn:microsoft.com/office/officeart/2005/8/layout/lProcess2"/>
    <dgm:cxn modelId="{C96F0082-70B0-4203-912E-174F0FD9A7CF}" type="presParOf" srcId="{F2F6E557-B54A-4B8F-B576-5D8D84898022}" destId="{3007DCDB-1887-47F4-8F3A-E59D533515A8}" srcOrd="6" destOrd="0" presId="urn:microsoft.com/office/officeart/2005/8/layout/lProcess2"/>
    <dgm:cxn modelId="{8BD8132B-C2C7-4D7D-87DA-B3ABFF4BBBE0}" type="presParOf" srcId="{3007DCDB-1887-47F4-8F3A-E59D533515A8}" destId="{9B1FE7B8-A07A-46A5-93FF-0B4B1047882A}" srcOrd="0" destOrd="0" presId="urn:microsoft.com/office/officeart/2005/8/layout/lProcess2"/>
    <dgm:cxn modelId="{82ABD16F-5CCB-4682-AA54-C6D4C86F6505}" type="presParOf" srcId="{3007DCDB-1887-47F4-8F3A-E59D533515A8}" destId="{7AC3E758-A667-4CF5-9140-8429BDD07FD3}" srcOrd="1" destOrd="0" presId="urn:microsoft.com/office/officeart/2005/8/layout/lProcess2"/>
    <dgm:cxn modelId="{04E491FC-428F-4417-BEA1-546B8BC5D847}" type="presParOf" srcId="{3007DCDB-1887-47F4-8F3A-E59D533515A8}" destId="{83724396-0003-4387-B086-C8CA8CC165CE}" srcOrd="2" destOrd="0" presId="urn:microsoft.com/office/officeart/2005/8/layout/lProcess2"/>
    <dgm:cxn modelId="{AE8698DA-B9B7-4BF1-86A9-5D97D5B0F75F}" type="presParOf" srcId="{83724396-0003-4387-B086-C8CA8CC165CE}" destId="{D80FB082-D977-458C-B58B-C2867F8E18F3}" srcOrd="0" destOrd="0" presId="urn:microsoft.com/office/officeart/2005/8/layout/lProcess2"/>
    <dgm:cxn modelId="{8D8FDA9B-ED6A-4D8E-9D7F-1BFF734C68F9}" type="presParOf" srcId="{D80FB082-D977-458C-B58B-C2867F8E18F3}" destId="{68692399-9CDA-431A-8D37-8071F25C6976}" srcOrd="0" destOrd="0" presId="urn:microsoft.com/office/officeart/2005/8/layout/lProcess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3D1CB23-C92D-4753-8E46-6164EBF3055C}" type="doc">
      <dgm:prSet loTypeId="urn:microsoft.com/office/officeart/2005/8/layout/hProcess9" loCatId="process" qsTypeId="urn:microsoft.com/office/officeart/2005/8/quickstyle/simple1#4" qsCatId="simple" csTypeId="urn:microsoft.com/office/officeart/2005/8/colors/accent1_2#3" csCatId="accent1" phldr="1"/>
      <dgm:spPr/>
      <dgm:t>
        <a:bodyPr/>
        <a:lstStyle/>
        <a:p>
          <a:endParaRPr lang="en-NZ"/>
        </a:p>
      </dgm:t>
    </dgm:pt>
    <dgm:pt modelId="{CEE5475A-CFE5-4971-ACE3-C87D0D30DCAA}">
      <dgm:prSet phldrT="[Text]"/>
      <dgm:spPr/>
      <dgm:t>
        <a:bodyPr/>
        <a:lstStyle/>
        <a:p>
          <a:r>
            <a:rPr lang="en-NZ" b="1"/>
            <a:t>Priority</a:t>
          </a:r>
        </a:p>
        <a:p>
          <a:r>
            <a:rPr lang="en-NZ"/>
            <a:t>To use our risk financing expertise to manage the fiscal risks of providing natural hazards insurance cover</a:t>
          </a:r>
        </a:p>
      </dgm:t>
    </dgm:pt>
    <dgm:pt modelId="{C3A32306-3296-4ABC-A825-A09F70CA9F0B}" type="parTrans" cxnId="{6BC919E8-DDF3-49BE-AF29-A3411BA6B24A}">
      <dgm:prSet/>
      <dgm:spPr/>
      <dgm:t>
        <a:bodyPr/>
        <a:lstStyle/>
        <a:p>
          <a:endParaRPr lang="en-NZ"/>
        </a:p>
      </dgm:t>
    </dgm:pt>
    <dgm:pt modelId="{3A2A67C3-6571-4662-B3C6-406A25D4F1A0}" type="sibTrans" cxnId="{6BC919E8-DDF3-49BE-AF29-A3411BA6B24A}">
      <dgm:prSet/>
      <dgm:spPr/>
      <dgm:t>
        <a:bodyPr/>
        <a:lstStyle/>
        <a:p>
          <a:endParaRPr lang="en-NZ"/>
        </a:p>
      </dgm:t>
    </dgm:pt>
    <dgm:pt modelId="{ACCFDC03-E547-49B3-9838-115E0AFDE283}">
      <dgm:prSet phldrT="[Text]"/>
      <dgm:spPr/>
      <dgm:t>
        <a:bodyPr/>
        <a:lstStyle/>
        <a:p>
          <a:r>
            <a:rPr lang="en-NZ" b="1"/>
            <a:t>Goal</a:t>
          </a:r>
        </a:p>
        <a:p>
          <a:r>
            <a:rPr lang="en-NZ"/>
            <a:t>To ensure we have:</a:t>
          </a:r>
        </a:p>
        <a:p>
          <a:r>
            <a:rPr lang="en-NZ"/>
            <a:t>- a robust risk financing framework that builds the financial resilience of the NHI scheme through growing the NHF, and</a:t>
          </a:r>
        </a:p>
        <a:p>
          <a:r>
            <a:rPr lang="en-NZ"/>
            <a:t>- the efficient transfer of risk to global capital markets through reinsurance and other risk management products</a:t>
          </a:r>
        </a:p>
      </dgm:t>
    </dgm:pt>
    <dgm:pt modelId="{5A8298D3-991F-423E-B713-387AF0BAF025}" type="parTrans" cxnId="{1B3996C2-C0D0-440A-AE09-1F63E2429149}">
      <dgm:prSet/>
      <dgm:spPr/>
      <dgm:t>
        <a:bodyPr/>
        <a:lstStyle/>
        <a:p>
          <a:endParaRPr lang="en-NZ"/>
        </a:p>
      </dgm:t>
    </dgm:pt>
    <dgm:pt modelId="{32F0A11B-4870-4293-AF83-9B7454044B79}" type="sibTrans" cxnId="{1B3996C2-C0D0-440A-AE09-1F63E2429149}">
      <dgm:prSet/>
      <dgm:spPr/>
      <dgm:t>
        <a:bodyPr/>
        <a:lstStyle/>
        <a:p>
          <a:endParaRPr lang="en-NZ"/>
        </a:p>
      </dgm:t>
    </dgm:pt>
    <dgm:pt modelId="{16E608BB-D4A6-462B-9042-DA76654CA96D}">
      <dgm:prSet phldrT="[Text]"/>
      <dgm:spPr/>
      <dgm:t>
        <a:bodyPr/>
        <a:lstStyle/>
        <a:p>
          <a:r>
            <a:rPr lang="en-NZ" b="1"/>
            <a:t>Outcome</a:t>
          </a:r>
        </a:p>
        <a:p>
          <a:r>
            <a:rPr lang="en-NZ"/>
            <a:t>Homeowners have an accessible, sustainable way to help manage financial impacts of natural hazard events</a:t>
          </a:r>
        </a:p>
      </dgm:t>
    </dgm:pt>
    <dgm:pt modelId="{1A0C0AF2-62F2-47D5-A0F5-E0AFBF2DF7C1}" type="parTrans" cxnId="{473084BA-C99C-4627-A650-994199C3C63B}">
      <dgm:prSet/>
      <dgm:spPr/>
      <dgm:t>
        <a:bodyPr/>
        <a:lstStyle/>
        <a:p>
          <a:endParaRPr lang="en-NZ"/>
        </a:p>
      </dgm:t>
    </dgm:pt>
    <dgm:pt modelId="{BD2E9B63-EC8D-4863-8611-307F37718AC6}" type="sibTrans" cxnId="{473084BA-C99C-4627-A650-994199C3C63B}">
      <dgm:prSet/>
      <dgm:spPr/>
      <dgm:t>
        <a:bodyPr/>
        <a:lstStyle/>
        <a:p>
          <a:endParaRPr lang="en-NZ"/>
        </a:p>
      </dgm:t>
    </dgm:pt>
    <dgm:pt modelId="{41FF72EC-CA08-4ECC-A43E-4A985D8AE248}" type="pres">
      <dgm:prSet presAssocID="{C3D1CB23-C92D-4753-8E46-6164EBF3055C}" presName="CompostProcess" presStyleCnt="0">
        <dgm:presLayoutVars>
          <dgm:dir/>
          <dgm:resizeHandles val="exact"/>
        </dgm:presLayoutVars>
      </dgm:prSet>
      <dgm:spPr/>
    </dgm:pt>
    <dgm:pt modelId="{4D8420D7-EE2A-44B3-864E-2F03A152323B}" type="pres">
      <dgm:prSet presAssocID="{C3D1CB23-C92D-4753-8E46-6164EBF3055C}" presName="arrow" presStyleLbl="bgShp" presStyleIdx="0" presStyleCnt="1"/>
      <dgm:spPr/>
    </dgm:pt>
    <dgm:pt modelId="{0DCFDB0E-9BBD-4788-9D82-7D9C9464E852}" type="pres">
      <dgm:prSet presAssocID="{C3D1CB23-C92D-4753-8E46-6164EBF3055C}" presName="linearProcess" presStyleCnt="0"/>
      <dgm:spPr/>
    </dgm:pt>
    <dgm:pt modelId="{7567EB73-8ACC-4EE1-B0D4-2B099D8F1C57}" type="pres">
      <dgm:prSet presAssocID="{CEE5475A-CFE5-4971-ACE3-C87D0D30DCAA}" presName="textNode" presStyleLbl="node1" presStyleIdx="0" presStyleCnt="3">
        <dgm:presLayoutVars>
          <dgm:bulletEnabled val="1"/>
        </dgm:presLayoutVars>
      </dgm:prSet>
      <dgm:spPr/>
    </dgm:pt>
    <dgm:pt modelId="{3E826C68-B281-4052-A542-D4691BF9D861}" type="pres">
      <dgm:prSet presAssocID="{3A2A67C3-6571-4662-B3C6-406A25D4F1A0}" presName="sibTrans" presStyleCnt="0"/>
      <dgm:spPr/>
    </dgm:pt>
    <dgm:pt modelId="{F21ABF30-A6B5-47D5-876A-A928914FD1D6}" type="pres">
      <dgm:prSet presAssocID="{ACCFDC03-E547-49B3-9838-115E0AFDE283}" presName="textNode" presStyleLbl="node1" presStyleIdx="1" presStyleCnt="3">
        <dgm:presLayoutVars>
          <dgm:bulletEnabled val="1"/>
        </dgm:presLayoutVars>
      </dgm:prSet>
      <dgm:spPr/>
    </dgm:pt>
    <dgm:pt modelId="{248D9A35-834F-47D5-B08C-5DB549BB1F6C}" type="pres">
      <dgm:prSet presAssocID="{32F0A11B-4870-4293-AF83-9B7454044B79}" presName="sibTrans" presStyleCnt="0"/>
      <dgm:spPr/>
    </dgm:pt>
    <dgm:pt modelId="{4703A41E-402E-4F70-8A2F-2367E7E31B01}" type="pres">
      <dgm:prSet presAssocID="{16E608BB-D4A6-462B-9042-DA76654CA96D}" presName="textNode" presStyleLbl="node1" presStyleIdx="2" presStyleCnt="3">
        <dgm:presLayoutVars>
          <dgm:bulletEnabled val="1"/>
        </dgm:presLayoutVars>
      </dgm:prSet>
      <dgm:spPr/>
    </dgm:pt>
  </dgm:ptLst>
  <dgm:cxnLst>
    <dgm:cxn modelId="{242A712D-723F-4370-91B7-D02383DB67D4}" type="presOf" srcId="{CEE5475A-CFE5-4971-ACE3-C87D0D30DCAA}" destId="{7567EB73-8ACC-4EE1-B0D4-2B099D8F1C57}" srcOrd="0" destOrd="0" presId="urn:microsoft.com/office/officeart/2005/8/layout/hProcess9"/>
    <dgm:cxn modelId="{2598EE4A-3933-4260-9C4E-AB247D7AC111}" type="presOf" srcId="{ACCFDC03-E547-49B3-9838-115E0AFDE283}" destId="{F21ABF30-A6B5-47D5-876A-A928914FD1D6}" srcOrd="0" destOrd="0" presId="urn:microsoft.com/office/officeart/2005/8/layout/hProcess9"/>
    <dgm:cxn modelId="{30D0BD9E-F82D-4B95-B943-E5F5086FD116}" type="presOf" srcId="{C3D1CB23-C92D-4753-8E46-6164EBF3055C}" destId="{41FF72EC-CA08-4ECC-A43E-4A985D8AE248}" srcOrd="0" destOrd="0" presId="urn:microsoft.com/office/officeart/2005/8/layout/hProcess9"/>
    <dgm:cxn modelId="{473084BA-C99C-4627-A650-994199C3C63B}" srcId="{C3D1CB23-C92D-4753-8E46-6164EBF3055C}" destId="{16E608BB-D4A6-462B-9042-DA76654CA96D}" srcOrd="2" destOrd="0" parTransId="{1A0C0AF2-62F2-47D5-A0F5-E0AFBF2DF7C1}" sibTransId="{BD2E9B63-EC8D-4863-8611-307F37718AC6}"/>
    <dgm:cxn modelId="{1B3996C2-C0D0-440A-AE09-1F63E2429149}" srcId="{C3D1CB23-C92D-4753-8E46-6164EBF3055C}" destId="{ACCFDC03-E547-49B3-9838-115E0AFDE283}" srcOrd="1" destOrd="0" parTransId="{5A8298D3-991F-423E-B713-387AF0BAF025}" sibTransId="{32F0A11B-4870-4293-AF83-9B7454044B79}"/>
    <dgm:cxn modelId="{01EF19C4-FA13-43B7-94DF-9EC02C7CE0DC}" type="presOf" srcId="{16E608BB-D4A6-462B-9042-DA76654CA96D}" destId="{4703A41E-402E-4F70-8A2F-2367E7E31B01}" srcOrd="0" destOrd="0" presId="urn:microsoft.com/office/officeart/2005/8/layout/hProcess9"/>
    <dgm:cxn modelId="{6BC919E8-DDF3-49BE-AF29-A3411BA6B24A}" srcId="{C3D1CB23-C92D-4753-8E46-6164EBF3055C}" destId="{CEE5475A-CFE5-4971-ACE3-C87D0D30DCAA}" srcOrd="0" destOrd="0" parTransId="{C3A32306-3296-4ABC-A825-A09F70CA9F0B}" sibTransId="{3A2A67C3-6571-4662-B3C6-406A25D4F1A0}"/>
    <dgm:cxn modelId="{CE3A1C12-D4DC-4DF3-AFC8-DB79119521B9}" type="presParOf" srcId="{41FF72EC-CA08-4ECC-A43E-4A985D8AE248}" destId="{4D8420D7-EE2A-44B3-864E-2F03A152323B}" srcOrd="0" destOrd="0" presId="urn:microsoft.com/office/officeart/2005/8/layout/hProcess9"/>
    <dgm:cxn modelId="{18D0845C-16BA-46EA-99A5-557C222EAB45}" type="presParOf" srcId="{41FF72EC-CA08-4ECC-A43E-4A985D8AE248}" destId="{0DCFDB0E-9BBD-4788-9D82-7D9C9464E852}" srcOrd="1" destOrd="0" presId="urn:microsoft.com/office/officeart/2005/8/layout/hProcess9"/>
    <dgm:cxn modelId="{233AE564-1897-464C-BEB1-4C7502175352}" type="presParOf" srcId="{0DCFDB0E-9BBD-4788-9D82-7D9C9464E852}" destId="{7567EB73-8ACC-4EE1-B0D4-2B099D8F1C57}" srcOrd="0" destOrd="0" presId="urn:microsoft.com/office/officeart/2005/8/layout/hProcess9"/>
    <dgm:cxn modelId="{A6CAD7B1-1061-4E6E-A127-6CBCF5D634DD}" type="presParOf" srcId="{0DCFDB0E-9BBD-4788-9D82-7D9C9464E852}" destId="{3E826C68-B281-4052-A542-D4691BF9D861}" srcOrd="1" destOrd="0" presId="urn:microsoft.com/office/officeart/2005/8/layout/hProcess9"/>
    <dgm:cxn modelId="{04C36DFD-C0B2-4714-9BE7-61784151799F}" type="presParOf" srcId="{0DCFDB0E-9BBD-4788-9D82-7D9C9464E852}" destId="{F21ABF30-A6B5-47D5-876A-A928914FD1D6}" srcOrd="2" destOrd="0" presId="urn:microsoft.com/office/officeart/2005/8/layout/hProcess9"/>
    <dgm:cxn modelId="{643B48EC-C898-492F-8852-08FC4E691FBD}" type="presParOf" srcId="{0DCFDB0E-9BBD-4788-9D82-7D9C9464E852}" destId="{248D9A35-834F-47D5-B08C-5DB549BB1F6C}" srcOrd="3" destOrd="0" presId="urn:microsoft.com/office/officeart/2005/8/layout/hProcess9"/>
    <dgm:cxn modelId="{1F545AAA-3C1C-4DA1-AFA0-53267CA7068C}" type="presParOf" srcId="{0DCFDB0E-9BBD-4788-9D82-7D9C9464E852}" destId="{4703A41E-402E-4F70-8A2F-2367E7E31B01}" srcOrd="4" destOrd="0" presId="urn:microsoft.com/office/officeart/2005/8/layout/hProcess9"/>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4572D8F-B4F3-4AE0-96EB-34E7160FD1C3}" type="doc">
      <dgm:prSet loTypeId="urn:microsoft.com/office/officeart/2005/8/layout/cycle4" loCatId="relationship" qsTypeId="urn:microsoft.com/office/officeart/2005/8/quickstyle/simple1#5" qsCatId="simple" csTypeId="urn:microsoft.com/office/officeart/2005/8/colors/accent1_2#4" csCatId="accent1" phldr="1"/>
      <dgm:spPr/>
      <dgm:t>
        <a:bodyPr/>
        <a:lstStyle/>
        <a:p>
          <a:endParaRPr lang="en-NZ"/>
        </a:p>
      </dgm:t>
    </dgm:pt>
    <dgm:pt modelId="{49F57A15-516E-46D1-88C3-9CD8FD765F8A}">
      <dgm:prSet phldrT="[Text]"/>
      <dgm:spPr/>
      <dgm:t>
        <a:bodyPr/>
        <a:lstStyle/>
        <a:p>
          <a:r>
            <a:rPr lang="en-NZ"/>
            <a:t>NHI levy</a:t>
          </a:r>
        </a:p>
      </dgm:t>
    </dgm:pt>
    <dgm:pt modelId="{AE3DDEA2-B50F-4B21-BBFF-85FFCB85305B}" type="parTrans" cxnId="{2E6E5DCE-2E26-4BD2-862E-0363AA5AA5D8}">
      <dgm:prSet/>
      <dgm:spPr/>
      <dgm:t>
        <a:bodyPr/>
        <a:lstStyle/>
        <a:p>
          <a:endParaRPr lang="en-NZ"/>
        </a:p>
      </dgm:t>
    </dgm:pt>
    <dgm:pt modelId="{E5DB399C-CA09-4DF7-A930-822CA150F698}" type="sibTrans" cxnId="{2E6E5DCE-2E26-4BD2-862E-0363AA5AA5D8}">
      <dgm:prSet/>
      <dgm:spPr/>
      <dgm:t>
        <a:bodyPr/>
        <a:lstStyle/>
        <a:p>
          <a:endParaRPr lang="en-NZ"/>
        </a:p>
      </dgm:t>
    </dgm:pt>
    <dgm:pt modelId="{C6428663-FE4E-4F9B-A5A6-99E416962CCF}">
      <dgm:prSet phldrT="[Text]"/>
      <dgm:spPr>
        <a:solidFill>
          <a:schemeClr val="accent2"/>
        </a:solidFill>
      </dgm:spPr>
      <dgm:t>
        <a:bodyPr/>
        <a:lstStyle/>
        <a:p>
          <a:r>
            <a:rPr lang="en-NZ"/>
            <a:t>Risk transfer</a:t>
          </a:r>
        </a:p>
      </dgm:t>
    </dgm:pt>
    <dgm:pt modelId="{4C14B012-00D4-46CB-BD3C-8C4F9E717DB7}" type="parTrans" cxnId="{03E8FFDC-4C2A-4E78-BA83-E6D8CAA8862A}">
      <dgm:prSet/>
      <dgm:spPr/>
      <dgm:t>
        <a:bodyPr/>
        <a:lstStyle/>
        <a:p>
          <a:endParaRPr lang="en-NZ"/>
        </a:p>
      </dgm:t>
    </dgm:pt>
    <dgm:pt modelId="{BA03DFEB-AB4A-4A58-9FFA-E833E903D1E0}" type="sibTrans" cxnId="{03E8FFDC-4C2A-4E78-BA83-E6D8CAA8862A}">
      <dgm:prSet/>
      <dgm:spPr/>
      <dgm:t>
        <a:bodyPr/>
        <a:lstStyle/>
        <a:p>
          <a:endParaRPr lang="en-NZ"/>
        </a:p>
      </dgm:t>
    </dgm:pt>
    <dgm:pt modelId="{2930632E-FF44-4C13-8DE0-37D88333E26D}">
      <dgm:prSet phldrT="[Text]"/>
      <dgm:spPr>
        <a:solidFill>
          <a:schemeClr val="accent3"/>
        </a:solidFill>
      </dgm:spPr>
      <dgm:t>
        <a:bodyPr/>
        <a:lstStyle/>
        <a:p>
          <a:r>
            <a:rPr lang="en-NZ"/>
            <a:t>Natural Hazard Fund</a:t>
          </a:r>
        </a:p>
      </dgm:t>
    </dgm:pt>
    <dgm:pt modelId="{5D760F6F-30AE-44B6-8818-BE0FA772A615}" type="parTrans" cxnId="{E610D4FA-BEBB-4B7D-AE2B-E498E50E1620}">
      <dgm:prSet/>
      <dgm:spPr/>
      <dgm:t>
        <a:bodyPr/>
        <a:lstStyle/>
        <a:p>
          <a:endParaRPr lang="en-NZ"/>
        </a:p>
      </dgm:t>
    </dgm:pt>
    <dgm:pt modelId="{5C30468E-9370-44C3-96DB-C7223B7B60F2}" type="sibTrans" cxnId="{E610D4FA-BEBB-4B7D-AE2B-E498E50E1620}">
      <dgm:prSet/>
      <dgm:spPr/>
      <dgm:t>
        <a:bodyPr/>
        <a:lstStyle/>
        <a:p>
          <a:endParaRPr lang="en-NZ"/>
        </a:p>
      </dgm:t>
    </dgm:pt>
    <dgm:pt modelId="{2B569F4C-5ADA-48A1-851A-245E48EE54D9}">
      <dgm:prSet phldrT="[Text]" custT="1"/>
      <dgm:spPr/>
      <dgm:t>
        <a:bodyPr/>
        <a:lstStyle/>
        <a:p>
          <a:r>
            <a:rPr lang="en-NZ" sz="1100"/>
            <a:t>Balance between growing the NHF and obtaining sufficient risk transfer coverage</a:t>
          </a:r>
        </a:p>
      </dgm:t>
    </dgm:pt>
    <dgm:pt modelId="{60FAFDFA-AD0A-44D3-9E52-EABD603FAC69}" type="parTrans" cxnId="{7143C22C-CE80-4C3F-8392-BCD883452774}">
      <dgm:prSet/>
      <dgm:spPr/>
      <dgm:t>
        <a:bodyPr/>
        <a:lstStyle/>
        <a:p>
          <a:endParaRPr lang="en-NZ"/>
        </a:p>
      </dgm:t>
    </dgm:pt>
    <dgm:pt modelId="{16DB568B-B986-4238-9DC3-5447E7FF4886}" type="sibTrans" cxnId="{7143C22C-CE80-4C3F-8392-BCD883452774}">
      <dgm:prSet/>
      <dgm:spPr/>
      <dgm:t>
        <a:bodyPr/>
        <a:lstStyle/>
        <a:p>
          <a:endParaRPr lang="en-NZ"/>
        </a:p>
      </dgm:t>
    </dgm:pt>
    <dgm:pt modelId="{F19E7C06-05C7-48DD-98F7-1F2AFA8E6FB0}">
      <dgm:prSet phldrT="[Text]"/>
      <dgm:spPr>
        <a:solidFill>
          <a:schemeClr val="accent4"/>
        </a:solidFill>
      </dgm:spPr>
      <dgm:t>
        <a:bodyPr/>
        <a:lstStyle/>
        <a:p>
          <a:r>
            <a:rPr lang="en-NZ"/>
            <a:t>Crown guarantee</a:t>
          </a:r>
        </a:p>
      </dgm:t>
    </dgm:pt>
    <dgm:pt modelId="{F28EDDB6-53F1-4AD5-9584-EC44D8581B51}" type="parTrans" cxnId="{53C0DA5D-CF37-4448-96FA-5F5339077936}">
      <dgm:prSet/>
      <dgm:spPr/>
      <dgm:t>
        <a:bodyPr/>
        <a:lstStyle/>
        <a:p>
          <a:endParaRPr lang="en-NZ"/>
        </a:p>
      </dgm:t>
    </dgm:pt>
    <dgm:pt modelId="{8A5A953F-41A8-41B0-8F58-EC82A29F2A72}" type="sibTrans" cxnId="{53C0DA5D-CF37-4448-96FA-5F5339077936}">
      <dgm:prSet/>
      <dgm:spPr/>
      <dgm:t>
        <a:bodyPr/>
        <a:lstStyle/>
        <a:p>
          <a:endParaRPr lang="en-NZ"/>
        </a:p>
      </dgm:t>
    </dgm:pt>
    <dgm:pt modelId="{30BCE596-76AA-4906-969F-F27BC4DE566B}">
      <dgm:prSet phldrT="[Text]" custT="1"/>
      <dgm:spPr/>
      <dgm:t>
        <a:bodyPr/>
        <a:lstStyle/>
        <a:p>
          <a:r>
            <a:rPr lang="en-NZ" sz="1100"/>
            <a:t>Coverage of all natural hazards, cost of cover, credit worthiness of partners, diversity of capital sources</a:t>
          </a:r>
        </a:p>
      </dgm:t>
    </dgm:pt>
    <dgm:pt modelId="{744EA50B-5095-4533-B4E3-3CC412A664C3}" type="parTrans" cxnId="{43BA58AF-EB75-44B8-BDC8-14C8EAA54077}">
      <dgm:prSet/>
      <dgm:spPr/>
      <dgm:t>
        <a:bodyPr/>
        <a:lstStyle/>
        <a:p>
          <a:endParaRPr lang="en-NZ"/>
        </a:p>
      </dgm:t>
    </dgm:pt>
    <dgm:pt modelId="{B67CB919-A528-4F1C-99E0-DE7EC4374D2C}" type="sibTrans" cxnId="{43BA58AF-EB75-44B8-BDC8-14C8EAA54077}">
      <dgm:prSet/>
      <dgm:spPr/>
      <dgm:t>
        <a:bodyPr/>
        <a:lstStyle/>
        <a:p>
          <a:endParaRPr lang="en-NZ"/>
        </a:p>
      </dgm:t>
    </dgm:pt>
    <dgm:pt modelId="{151AB1ED-C7F8-4B55-91B8-72D3E1AAC0E0}">
      <dgm:prSet phldrT="[Text]" custT="1"/>
      <dgm:spPr/>
      <dgm:t>
        <a:bodyPr/>
        <a:lstStyle/>
        <a:p>
          <a:r>
            <a:rPr lang="en-NZ" sz="1100"/>
            <a:t>We and our stakeholders understand the long-term financial costs and break-even NHI levy for the NHI scheme</a:t>
          </a:r>
        </a:p>
      </dgm:t>
    </dgm:pt>
    <dgm:pt modelId="{47838E38-1C52-42C8-8E33-56CCA7DBB9E4}" type="parTrans" cxnId="{5E107A95-FB40-4B10-8C0A-768D8154118C}">
      <dgm:prSet/>
      <dgm:spPr/>
      <dgm:t>
        <a:bodyPr/>
        <a:lstStyle/>
        <a:p>
          <a:endParaRPr lang="en-NZ"/>
        </a:p>
      </dgm:t>
    </dgm:pt>
    <dgm:pt modelId="{7D9525A2-B3AE-4882-B100-4FB4ADB32D3D}" type="sibTrans" cxnId="{5E107A95-FB40-4B10-8C0A-768D8154118C}">
      <dgm:prSet/>
      <dgm:spPr/>
      <dgm:t>
        <a:bodyPr/>
        <a:lstStyle/>
        <a:p>
          <a:endParaRPr lang="en-NZ"/>
        </a:p>
      </dgm:t>
    </dgm:pt>
    <dgm:pt modelId="{BE8D110D-4E0D-49E5-B1CC-CFA6BAC4C0E9}">
      <dgm:prSet phldrT="[Text]" custT="1"/>
      <dgm:spPr/>
      <dgm:t>
        <a:bodyPr/>
        <a:lstStyle/>
        <a:p>
          <a:r>
            <a:rPr lang="en-NZ" sz="1100"/>
            <a:t>Government meets any deficiency in the NHF to ensure claims can be paid</a:t>
          </a:r>
        </a:p>
      </dgm:t>
    </dgm:pt>
    <dgm:pt modelId="{53748D18-438C-4F1A-844B-5ED69BF68B17}" type="parTrans" cxnId="{91C7F041-9024-4201-8D4A-3CC11319A016}">
      <dgm:prSet/>
      <dgm:spPr/>
      <dgm:t>
        <a:bodyPr/>
        <a:lstStyle/>
        <a:p>
          <a:endParaRPr lang="en-NZ"/>
        </a:p>
      </dgm:t>
    </dgm:pt>
    <dgm:pt modelId="{C70A904E-3820-4997-8620-3515512C36C9}" type="sibTrans" cxnId="{91C7F041-9024-4201-8D4A-3CC11319A016}">
      <dgm:prSet/>
      <dgm:spPr/>
      <dgm:t>
        <a:bodyPr/>
        <a:lstStyle/>
        <a:p>
          <a:endParaRPr lang="en-NZ"/>
        </a:p>
      </dgm:t>
    </dgm:pt>
    <dgm:pt modelId="{9B1DB749-9008-43C4-95F9-77D86DABF8E7}">
      <dgm:prSet phldrT="[Text]" custT="1"/>
      <dgm:spPr/>
      <dgm:t>
        <a:bodyPr/>
        <a:lstStyle/>
        <a:p>
          <a:endParaRPr lang="en-NZ" sz="1100"/>
        </a:p>
      </dgm:t>
    </dgm:pt>
    <dgm:pt modelId="{E753E310-B072-4917-8563-196C63B8B15B}" type="parTrans" cxnId="{E3C520F5-AC5E-4058-BFB5-EE17B4100795}">
      <dgm:prSet/>
      <dgm:spPr/>
      <dgm:t>
        <a:bodyPr/>
        <a:lstStyle/>
        <a:p>
          <a:endParaRPr lang="en-NZ"/>
        </a:p>
      </dgm:t>
    </dgm:pt>
    <dgm:pt modelId="{FA5E505D-0E44-4A6D-BDF4-B18F27E6CA4B}" type="sibTrans" cxnId="{E3C520F5-AC5E-4058-BFB5-EE17B4100795}">
      <dgm:prSet/>
      <dgm:spPr/>
      <dgm:t>
        <a:bodyPr/>
        <a:lstStyle/>
        <a:p>
          <a:endParaRPr lang="en-NZ"/>
        </a:p>
      </dgm:t>
    </dgm:pt>
    <dgm:pt modelId="{FB4666F9-16E1-4102-A8DF-D4DE1F96F299}" type="pres">
      <dgm:prSet presAssocID="{44572D8F-B4F3-4AE0-96EB-34E7160FD1C3}" presName="cycleMatrixDiagram" presStyleCnt="0">
        <dgm:presLayoutVars>
          <dgm:chMax val="1"/>
          <dgm:dir/>
          <dgm:animLvl val="lvl"/>
          <dgm:resizeHandles val="exact"/>
        </dgm:presLayoutVars>
      </dgm:prSet>
      <dgm:spPr/>
    </dgm:pt>
    <dgm:pt modelId="{23644C59-DDB8-4F7F-A3DD-8D083C7929C2}" type="pres">
      <dgm:prSet presAssocID="{44572D8F-B4F3-4AE0-96EB-34E7160FD1C3}" presName="children" presStyleCnt="0"/>
      <dgm:spPr/>
    </dgm:pt>
    <dgm:pt modelId="{C655DE17-4845-4D2B-BF19-4CD18189DCBF}" type="pres">
      <dgm:prSet presAssocID="{44572D8F-B4F3-4AE0-96EB-34E7160FD1C3}" presName="child1group" presStyleCnt="0"/>
      <dgm:spPr/>
    </dgm:pt>
    <dgm:pt modelId="{0124E344-78E7-43DE-A331-6E93FBB682D1}" type="pres">
      <dgm:prSet presAssocID="{44572D8F-B4F3-4AE0-96EB-34E7160FD1C3}" presName="child1" presStyleLbl="bgAcc1" presStyleIdx="0" presStyleCnt="4"/>
      <dgm:spPr/>
    </dgm:pt>
    <dgm:pt modelId="{B0C8103C-B721-4DEF-B8BD-26211E012C9B}" type="pres">
      <dgm:prSet presAssocID="{44572D8F-B4F3-4AE0-96EB-34E7160FD1C3}" presName="child1Text" presStyleLbl="bgAcc1" presStyleIdx="0" presStyleCnt="4">
        <dgm:presLayoutVars>
          <dgm:bulletEnabled val="1"/>
        </dgm:presLayoutVars>
      </dgm:prSet>
      <dgm:spPr/>
    </dgm:pt>
    <dgm:pt modelId="{250EB44F-82A7-448D-94FE-1FE1561969F5}" type="pres">
      <dgm:prSet presAssocID="{44572D8F-B4F3-4AE0-96EB-34E7160FD1C3}" presName="child2group" presStyleCnt="0"/>
      <dgm:spPr/>
    </dgm:pt>
    <dgm:pt modelId="{FADBD7F1-4C3E-496A-A878-DB665D35D773}" type="pres">
      <dgm:prSet presAssocID="{44572D8F-B4F3-4AE0-96EB-34E7160FD1C3}" presName="child2" presStyleLbl="bgAcc1" presStyleIdx="1" presStyleCnt="4"/>
      <dgm:spPr/>
    </dgm:pt>
    <dgm:pt modelId="{1ED79DFD-F524-43F0-869B-5FA068BD49F3}" type="pres">
      <dgm:prSet presAssocID="{44572D8F-B4F3-4AE0-96EB-34E7160FD1C3}" presName="child2Text" presStyleLbl="bgAcc1" presStyleIdx="1" presStyleCnt="4">
        <dgm:presLayoutVars>
          <dgm:bulletEnabled val="1"/>
        </dgm:presLayoutVars>
      </dgm:prSet>
      <dgm:spPr/>
    </dgm:pt>
    <dgm:pt modelId="{64284120-5B14-43BB-A6A0-168E7B27EF3D}" type="pres">
      <dgm:prSet presAssocID="{44572D8F-B4F3-4AE0-96EB-34E7160FD1C3}" presName="child3group" presStyleCnt="0"/>
      <dgm:spPr/>
    </dgm:pt>
    <dgm:pt modelId="{408A1829-957B-4430-B8DA-90EB7B67BC3E}" type="pres">
      <dgm:prSet presAssocID="{44572D8F-B4F3-4AE0-96EB-34E7160FD1C3}" presName="child3" presStyleLbl="bgAcc1" presStyleIdx="2" presStyleCnt="4"/>
      <dgm:spPr/>
    </dgm:pt>
    <dgm:pt modelId="{EB89CEB5-9F86-46E0-ADF8-9822FAF955E8}" type="pres">
      <dgm:prSet presAssocID="{44572D8F-B4F3-4AE0-96EB-34E7160FD1C3}" presName="child3Text" presStyleLbl="bgAcc1" presStyleIdx="2" presStyleCnt="4">
        <dgm:presLayoutVars>
          <dgm:bulletEnabled val="1"/>
        </dgm:presLayoutVars>
      </dgm:prSet>
      <dgm:spPr/>
    </dgm:pt>
    <dgm:pt modelId="{FE8E8574-EC64-49ED-905C-B1BC04960970}" type="pres">
      <dgm:prSet presAssocID="{44572D8F-B4F3-4AE0-96EB-34E7160FD1C3}" presName="child4group" presStyleCnt="0"/>
      <dgm:spPr/>
    </dgm:pt>
    <dgm:pt modelId="{02682B38-7284-4F7B-A057-27C1A4247CD5}" type="pres">
      <dgm:prSet presAssocID="{44572D8F-B4F3-4AE0-96EB-34E7160FD1C3}" presName="child4" presStyleLbl="bgAcc1" presStyleIdx="3" presStyleCnt="4" custLinFactNeighborX="-5749" custLinFactNeighborY="28398"/>
      <dgm:spPr/>
    </dgm:pt>
    <dgm:pt modelId="{B9BFBA61-5712-414D-B2B1-22B3A1A860E3}" type="pres">
      <dgm:prSet presAssocID="{44572D8F-B4F3-4AE0-96EB-34E7160FD1C3}" presName="child4Text" presStyleLbl="bgAcc1" presStyleIdx="3" presStyleCnt="4">
        <dgm:presLayoutVars>
          <dgm:bulletEnabled val="1"/>
        </dgm:presLayoutVars>
      </dgm:prSet>
      <dgm:spPr/>
    </dgm:pt>
    <dgm:pt modelId="{77C0F7E9-600E-48D1-B8CE-BA8C1F461A1F}" type="pres">
      <dgm:prSet presAssocID="{44572D8F-B4F3-4AE0-96EB-34E7160FD1C3}" presName="childPlaceholder" presStyleCnt="0"/>
      <dgm:spPr/>
    </dgm:pt>
    <dgm:pt modelId="{AD92D7C6-EA24-487A-9589-442CEBC9F022}" type="pres">
      <dgm:prSet presAssocID="{44572D8F-B4F3-4AE0-96EB-34E7160FD1C3}" presName="circle" presStyleCnt="0"/>
      <dgm:spPr/>
    </dgm:pt>
    <dgm:pt modelId="{2B379C41-699B-4152-8E67-9596D5AD96F1}" type="pres">
      <dgm:prSet presAssocID="{44572D8F-B4F3-4AE0-96EB-34E7160FD1C3}" presName="quadrant1" presStyleLbl="node1" presStyleIdx="0" presStyleCnt="4">
        <dgm:presLayoutVars>
          <dgm:chMax val="1"/>
          <dgm:bulletEnabled val="1"/>
        </dgm:presLayoutVars>
      </dgm:prSet>
      <dgm:spPr/>
    </dgm:pt>
    <dgm:pt modelId="{B7891C74-C12E-4A89-818B-62CFE6A63C58}" type="pres">
      <dgm:prSet presAssocID="{44572D8F-B4F3-4AE0-96EB-34E7160FD1C3}" presName="quadrant2" presStyleLbl="node1" presStyleIdx="1" presStyleCnt="4">
        <dgm:presLayoutVars>
          <dgm:chMax val="1"/>
          <dgm:bulletEnabled val="1"/>
        </dgm:presLayoutVars>
      </dgm:prSet>
      <dgm:spPr/>
    </dgm:pt>
    <dgm:pt modelId="{6F5089E4-AEA1-43F4-B7A6-043440744255}" type="pres">
      <dgm:prSet presAssocID="{44572D8F-B4F3-4AE0-96EB-34E7160FD1C3}" presName="quadrant3" presStyleLbl="node1" presStyleIdx="2" presStyleCnt="4">
        <dgm:presLayoutVars>
          <dgm:chMax val="1"/>
          <dgm:bulletEnabled val="1"/>
        </dgm:presLayoutVars>
      </dgm:prSet>
      <dgm:spPr/>
    </dgm:pt>
    <dgm:pt modelId="{CAB46E63-B5E8-49A1-9D24-29D1BD29837D}" type="pres">
      <dgm:prSet presAssocID="{44572D8F-B4F3-4AE0-96EB-34E7160FD1C3}" presName="quadrant4" presStyleLbl="node1" presStyleIdx="3" presStyleCnt="4">
        <dgm:presLayoutVars>
          <dgm:chMax val="1"/>
          <dgm:bulletEnabled val="1"/>
        </dgm:presLayoutVars>
      </dgm:prSet>
      <dgm:spPr/>
    </dgm:pt>
    <dgm:pt modelId="{683B8DA6-A1CD-41DC-A0B6-8629919544C2}" type="pres">
      <dgm:prSet presAssocID="{44572D8F-B4F3-4AE0-96EB-34E7160FD1C3}" presName="quadrantPlaceholder" presStyleCnt="0"/>
      <dgm:spPr/>
    </dgm:pt>
    <dgm:pt modelId="{7841B843-255F-443F-9015-DDDB028CEB11}" type="pres">
      <dgm:prSet presAssocID="{44572D8F-B4F3-4AE0-96EB-34E7160FD1C3}" presName="center1" presStyleLbl="fgShp" presStyleIdx="0" presStyleCnt="2"/>
      <dgm:spPr/>
    </dgm:pt>
    <dgm:pt modelId="{AC88878E-A1EA-4D5F-BBFC-5E476DB41E1C}" type="pres">
      <dgm:prSet presAssocID="{44572D8F-B4F3-4AE0-96EB-34E7160FD1C3}" presName="center2" presStyleLbl="fgShp" presStyleIdx="1" presStyleCnt="2"/>
      <dgm:spPr/>
    </dgm:pt>
  </dgm:ptLst>
  <dgm:cxnLst>
    <dgm:cxn modelId="{C8A86C14-2776-46F2-AC68-1A56CAC7AEDA}" type="presOf" srcId="{9B1DB749-9008-43C4-95F9-77D86DABF8E7}" destId="{408A1829-957B-4430-B8DA-90EB7B67BC3E}" srcOrd="0" destOrd="0" presId="urn:microsoft.com/office/officeart/2005/8/layout/cycle4"/>
    <dgm:cxn modelId="{0CB53E25-CBE1-4E39-B26F-97136677F4AD}" type="presOf" srcId="{2930632E-FF44-4C13-8DE0-37D88333E26D}" destId="{6F5089E4-AEA1-43F4-B7A6-043440744255}" srcOrd="0" destOrd="0" presId="urn:microsoft.com/office/officeart/2005/8/layout/cycle4"/>
    <dgm:cxn modelId="{7143C22C-CE80-4C3F-8392-BCD883452774}" srcId="{2930632E-FF44-4C13-8DE0-37D88333E26D}" destId="{2B569F4C-5ADA-48A1-851A-245E48EE54D9}" srcOrd="1" destOrd="0" parTransId="{60FAFDFA-AD0A-44D3-9E52-EABD603FAC69}" sibTransId="{16DB568B-B986-4238-9DC3-5447E7FF4886}"/>
    <dgm:cxn modelId="{B7494237-ABA9-4A2E-8FAD-590D03A17827}" type="presOf" srcId="{F19E7C06-05C7-48DD-98F7-1F2AFA8E6FB0}" destId="{CAB46E63-B5E8-49A1-9D24-29D1BD29837D}" srcOrd="0" destOrd="0" presId="urn:microsoft.com/office/officeart/2005/8/layout/cycle4"/>
    <dgm:cxn modelId="{53C0DA5D-CF37-4448-96FA-5F5339077936}" srcId="{44572D8F-B4F3-4AE0-96EB-34E7160FD1C3}" destId="{F19E7C06-05C7-48DD-98F7-1F2AFA8E6FB0}" srcOrd="3" destOrd="0" parTransId="{F28EDDB6-53F1-4AD5-9584-EC44D8581B51}" sibTransId="{8A5A953F-41A8-41B0-8F58-EC82A29F2A72}"/>
    <dgm:cxn modelId="{3CD25F41-9968-483E-89A5-1BA9FCF4F755}" type="presOf" srcId="{30BCE596-76AA-4906-969F-F27BC4DE566B}" destId="{FADBD7F1-4C3E-496A-A878-DB665D35D773}" srcOrd="0" destOrd="0" presId="urn:microsoft.com/office/officeart/2005/8/layout/cycle4"/>
    <dgm:cxn modelId="{91C7F041-9024-4201-8D4A-3CC11319A016}" srcId="{F19E7C06-05C7-48DD-98F7-1F2AFA8E6FB0}" destId="{BE8D110D-4E0D-49E5-B1CC-CFA6BAC4C0E9}" srcOrd="0" destOrd="0" parTransId="{53748D18-438C-4F1A-844B-5ED69BF68B17}" sibTransId="{C70A904E-3820-4997-8620-3515512C36C9}"/>
    <dgm:cxn modelId="{8371BF4B-D737-47AA-9069-B62C14754BB4}" type="presOf" srcId="{9B1DB749-9008-43C4-95F9-77D86DABF8E7}" destId="{EB89CEB5-9F86-46E0-ADF8-9822FAF955E8}" srcOrd="1" destOrd="0" presId="urn:microsoft.com/office/officeart/2005/8/layout/cycle4"/>
    <dgm:cxn modelId="{2A29DC59-8415-47AD-AF08-3675D753F520}" type="presOf" srcId="{49F57A15-516E-46D1-88C3-9CD8FD765F8A}" destId="{2B379C41-699B-4152-8E67-9596D5AD96F1}" srcOrd="0" destOrd="0" presId="urn:microsoft.com/office/officeart/2005/8/layout/cycle4"/>
    <dgm:cxn modelId="{2C151787-73C7-4642-8241-AEC49C0449B5}" type="presOf" srcId="{2B569F4C-5ADA-48A1-851A-245E48EE54D9}" destId="{EB89CEB5-9F86-46E0-ADF8-9822FAF955E8}" srcOrd="1" destOrd="1" presId="urn:microsoft.com/office/officeart/2005/8/layout/cycle4"/>
    <dgm:cxn modelId="{5E107A95-FB40-4B10-8C0A-768D8154118C}" srcId="{49F57A15-516E-46D1-88C3-9CD8FD765F8A}" destId="{151AB1ED-C7F8-4B55-91B8-72D3E1AAC0E0}" srcOrd="0" destOrd="0" parTransId="{47838E38-1C52-42C8-8E33-56CCA7DBB9E4}" sibTransId="{7D9525A2-B3AE-4882-B100-4FB4ADB32D3D}"/>
    <dgm:cxn modelId="{A544289F-3D4E-46EF-8B57-272949CAA599}" type="presOf" srcId="{151AB1ED-C7F8-4B55-91B8-72D3E1AAC0E0}" destId="{0124E344-78E7-43DE-A331-6E93FBB682D1}" srcOrd="0" destOrd="0" presId="urn:microsoft.com/office/officeart/2005/8/layout/cycle4"/>
    <dgm:cxn modelId="{A8B4C3A8-21C5-4661-9B51-2731E3752B1A}" type="presOf" srcId="{30BCE596-76AA-4906-969F-F27BC4DE566B}" destId="{1ED79DFD-F524-43F0-869B-5FA068BD49F3}" srcOrd="1" destOrd="0" presId="urn:microsoft.com/office/officeart/2005/8/layout/cycle4"/>
    <dgm:cxn modelId="{43BA58AF-EB75-44B8-BDC8-14C8EAA54077}" srcId="{C6428663-FE4E-4F9B-A5A6-99E416962CCF}" destId="{30BCE596-76AA-4906-969F-F27BC4DE566B}" srcOrd="0" destOrd="0" parTransId="{744EA50B-5095-4533-B4E3-3CC412A664C3}" sibTransId="{B67CB919-A528-4F1C-99E0-DE7EC4374D2C}"/>
    <dgm:cxn modelId="{1D83E6BB-5F13-444F-AAEE-B2946907978A}" type="presOf" srcId="{BE8D110D-4E0D-49E5-B1CC-CFA6BAC4C0E9}" destId="{02682B38-7284-4F7B-A057-27C1A4247CD5}" srcOrd="0" destOrd="0" presId="urn:microsoft.com/office/officeart/2005/8/layout/cycle4"/>
    <dgm:cxn modelId="{646AC4C1-3451-4685-A986-920D158FFE8D}" type="presOf" srcId="{44572D8F-B4F3-4AE0-96EB-34E7160FD1C3}" destId="{FB4666F9-16E1-4102-A8DF-D4DE1F96F299}" srcOrd="0" destOrd="0" presId="urn:microsoft.com/office/officeart/2005/8/layout/cycle4"/>
    <dgm:cxn modelId="{F8E2C8C8-FE09-4EB0-99D9-A58A183B0B46}" type="presOf" srcId="{C6428663-FE4E-4F9B-A5A6-99E416962CCF}" destId="{B7891C74-C12E-4A89-818B-62CFE6A63C58}" srcOrd="0" destOrd="0" presId="urn:microsoft.com/office/officeart/2005/8/layout/cycle4"/>
    <dgm:cxn modelId="{2E6E5DCE-2E26-4BD2-862E-0363AA5AA5D8}" srcId="{44572D8F-B4F3-4AE0-96EB-34E7160FD1C3}" destId="{49F57A15-516E-46D1-88C3-9CD8FD765F8A}" srcOrd="0" destOrd="0" parTransId="{AE3DDEA2-B50F-4B21-BBFF-85FFCB85305B}" sibTransId="{E5DB399C-CA09-4DF7-A930-822CA150F698}"/>
    <dgm:cxn modelId="{03E8FFDC-4C2A-4E78-BA83-E6D8CAA8862A}" srcId="{44572D8F-B4F3-4AE0-96EB-34E7160FD1C3}" destId="{C6428663-FE4E-4F9B-A5A6-99E416962CCF}" srcOrd="1" destOrd="0" parTransId="{4C14B012-00D4-46CB-BD3C-8C4F9E717DB7}" sibTransId="{BA03DFEB-AB4A-4A58-9FFA-E833E903D1E0}"/>
    <dgm:cxn modelId="{77CE83ED-2694-48E8-8A23-DDE0C8D4CE52}" type="presOf" srcId="{BE8D110D-4E0D-49E5-B1CC-CFA6BAC4C0E9}" destId="{B9BFBA61-5712-414D-B2B1-22B3A1A860E3}" srcOrd="1" destOrd="0" presId="urn:microsoft.com/office/officeart/2005/8/layout/cycle4"/>
    <dgm:cxn modelId="{E3C520F5-AC5E-4058-BFB5-EE17B4100795}" srcId="{2930632E-FF44-4C13-8DE0-37D88333E26D}" destId="{9B1DB749-9008-43C4-95F9-77D86DABF8E7}" srcOrd="0" destOrd="0" parTransId="{E753E310-B072-4917-8563-196C63B8B15B}" sibTransId="{FA5E505D-0E44-4A6D-BDF4-B18F27E6CA4B}"/>
    <dgm:cxn modelId="{15711EF8-0081-4563-B2B0-C91427AE02BE}" type="presOf" srcId="{2B569F4C-5ADA-48A1-851A-245E48EE54D9}" destId="{408A1829-957B-4430-B8DA-90EB7B67BC3E}" srcOrd="0" destOrd="1" presId="urn:microsoft.com/office/officeart/2005/8/layout/cycle4"/>
    <dgm:cxn modelId="{E610D4FA-BEBB-4B7D-AE2B-E498E50E1620}" srcId="{44572D8F-B4F3-4AE0-96EB-34E7160FD1C3}" destId="{2930632E-FF44-4C13-8DE0-37D88333E26D}" srcOrd="2" destOrd="0" parTransId="{5D760F6F-30AE-44B6-8818-BE0FA772A615}" sibTransId="{5C30468E-9370-44C3-96DB-C7223B7B60F2}"/>
    <dgm:cxn modelId="{1BDD33FB-3EBC-46E2-9DFD-DF3A11E754C8}" type="presOf" srcId="{151AB1ED-C7F8-4B55-91B8-72D3E1AAC0E0}" destId="{B0C8103C-B721-4DEF-B8BD-26211E012C9B}" srcOrd="1" destOrd="0" presId="urn:microsoft.com/office/officeart/2005/8/layout/cycle4"/>
    <dgm:cxn modelId="{2FA8EB65-3EE3-4AD5-8E95-902A25325746}" type="presParOf" srcId="{FB4666F9-16E1-4102-A8DF-D4DE1F96F299}" destId="{23644C59-DDB8-4F7F-A3DD-8D083C7929C2}" srcOrd="0" destOrd="0" presId="urn:microsoft.com/office/officeart/2005/8/layout/cycle4"/>
    <dgm:cxn modelId="{C5A099FD-74DE-4C29-BF2F-7F9FE5F5B3DC}" type="presParOf" srcId="{23644C59-DDB8-4F7F-A3DD-8D083C7929C2}" destId="{C655DE17-4845-4D2B-BF19-4CD18189DCBF}" srcOrd="0" destOrd="0" presId="urn:microsoft.com/office/officeart/2005/8/layout/cycle4"/>
    <dgm:cxn modelId="{52A1EF09-1C90-4CD7-929E-5B93B0BF2B65}" type="presParOf" srcId="{C655DE17-4845-4D2B-BF19-4CD18189DCBF}" destId="{0124E344-78E7-43DE-A331-6E93FBB682D1}" srcOrd="0" destOrd="0" presId="urn:microsoft.com/office/officeart/2005/8/layout/cycle4"/>
    <dgm:cxn modelId="{22934A43-A703-4A65-853C-5DF5060E40F8}" type="presParOf" srcId="{C655DE17-4845-4D2B-BF19-4CD18189DCBF}" destId="{B0C8103C-B721-4DEF-B8BD-26211E012C9B}" srcOrd="1" destOrd="0" presId="urn:microsoft.com/office/officeart/2005/8/layout/cycle4"/>
    <dgm:cxn modelId="{000DB7D3-F83F-4B72-94A8-62ECD9E2B640}" type="presParOf" srcId="{23644C59-DDB8-4F7F-A3DD-8D083C7929C2}" destId="{250EB44F-82A7-448D-94FE-1FE1561969F5}" srcOrd="1" destOrd="0" presId="urn:microsoft.com/office/officeart/2005/8/layout/cycle4"/>
    <dgm:cxn modelId="{E539350A-D917-432B-A1DD-A1B7470A2B7E}" type="presParOf" srcId="{250EB44F-82A7-448D-94FE-1FE1561969F5}" destId="{FADBD7F1-4C3E-496A-A878-DB665D35D773}" srcOrd="0" destOrd="0" presId="urn:microsoft.com/office/officeart/2005/8/layout/cycle4"/>
    <dgm:cxn modelId="{D78D6933-0FE8-4609-8FA7-68638B6D726B}" type="presParOf" srcId="{250EB44F-82A7-448D-94FE-1FE1561969F5}" destId="{1ED79DFD-F524-43F0-869B-5FA068BD49F3}" srcOrd="1" destOrd="0" presId="urn:microsoft.com/office/officeart/2005/8/layout/cycle4"/>
    <dgm:cxn modelId="{EAA2A8F8-F644-413D-9080-8AC543A49BF1}" type="presParOf" srcId="{23644C59-DDB8-4F7F-A3DD-8D083C7929C2}" destId="{64284120-5B14-43BB-A6A0-168E7B27EF3D}" srcOrd="2" destOrd="0" presId="urn:microsoft.com/office/officeart/2005/8/layout/cycle4"/>
    <dgm:cxn modelId="{865EE581-1C97-4AF4-9535-4E8D42E557F7}" type="presParOf" srcId="{64284120-5B14-43BB-A6A0-168E7B27EF3D}" destId="{408A1829-957B-4430-B8DA-90EB7B67BC3E}" srcOrd="0" destOrd="0" presId="urn:microsoft.com/office/officeart/2005/8/layout/cycle4"/>
    <dgm:cxn modelId="{2A66999D-E632-4866-8274-37DE26B09105}" type="presParOf" srcId="{64284120-5B14-43BB-A6A0-168E7B27EF3D}" destId="{EB89CEB5-9F86-46E0-ADF8-9822FAF955E8}" srcOrd="1" destOrd="0" presId="urn:microsoft.com/office/officeart/2005/8/layout/cycle4"/>
    <dgm:cxn modelId="{A078A8EF-79A5-42E0-AFE5-6474EBA92ABB}" type="presParOf" srcId="{23644C59-DDB8-4F7F-A3DD-8D083C7929C2}" destId="{FE8E8574-EC64-49ED-905C-B1BC04960970}" srcOrd="3" destOrd="0" presId="urn:microsoft.com/office/officeart/2005/8/layout/cycle4"/>
    <dgm:cxn modelId="{4DB594FC-E68C-437E-BC3B-8B8EBE3A243A}" type="presParOf" srcId="{FE8E8574-EC64-49ED-905C-B1BC04960970}" destId="{02682B38-7284-4F7B-A057-27C1A4247CD5}" srcOrd="0" destOrd="0" presId="urn:microsoft.com/office/officeart/2005/8/layout/cycle4"/>
    <dgm:cxn modelId="{2E26133F-FED5-4A7C-BA62-7260BD3F1F2E}" type="presParOf" srcId="{FE8E8574-EC64-49ED-905C-B1BC04960970}" destId="{B9BFBA61-5712-414D-B2B1-22B3A1A860E3}" srcOrd="1" destOrd="0" presId="urn:microsoft.com/office/officeart/2005/8/layout/cycle4"/>
    <dgm:cxn modelId="{448801DF-A22A-4A82-9608-A312DCF0D7BB}" type="presParOf" srcId="{23644C59-DDB8-4F7F-A3DD-8D083C7929C2}" destId="{77C0F7E9-600E-48D1-B8CE-BA8C1F461A1F}" srcOrd="4" destOrd="0" presId="urn:microsoft.com/office/officeart/2005/8/layout/cycle4"/>
    <dgm:cxn modelId="{2128F8DC-A1BD-457B-A2F4-03CF319BF717}" type="presParOf" srcId="{FB4666F9-16E1-4102-A8DF-D4DE1F96F299}" destId="{AD92D7C6-EA24-487A-9589-442CEBC9F022}" srcOrd="1" destOrd="0" presId="urn:microsoft.com/office/officeart/2005/8/layout/cycle4"/>
    <dgm:cxn modelId="{04D7CD2A-6B76-4C5D-9B55-CFCE8076E542}" type="presParOf" srcId="{AD92D7C6-EA24-487A-9589-442CEBC9F022}" destId="{2B379C41-699B-4152-8E67-9596D5AD96F1}" srcOrd="0" destOrd="0" presId="urn:microsoft.com/office/officeart/2005/8/layout/cycle4"/>
    <dgm:cxn modelId="{7347EF77-BE9F-4054-AD66-81334E4DDD98}" type="presParOf" srcId="{AD92D7C6-EA24-487A-9589-442CEBC9F022}" destId="{B7891C74-C12E-4A89-818B-62CFE6A63C58}" srcOrd="1" destOrd="0" presId="urn:microsoft.com/office/officeart/2005/8/layout/cycle4"/>
    <dgm:cxn modelId="{6211A3BA-717F-4311-94EE-2F70B07D2C43}" type="presParOf" srcId="{AD92D7C6-EA24-487A-9589-442CEBC9F022}" destId="{6F5089E4-AEA1-43F4-B7A6-043440744255}" srcOrd="2" destOrd="0" presId="urn:microsoft.com/office/officeart/2005/8/layout/cycle4"/>
    <dgm:cxn modelId="{D8355168-0D5D-4AEE-9A2D-C18B329827C0}" type="presParOf" srcId="{AD92D7C6-EA24-487A-9589-442CEBC9F022}" destId="{CAB46E63-B5E8-49A1-9D24-29D1BD29837D}" srcOrd="3" destOrd="0" presId="urn:microsoft.com/office/officeart/2005/8/layout/cycle4"/>
    <dgm:cxn modelId="{16244448-882F-456E-92F1-629C07389518}" type="presParOf" srcId="{AD92D7C6-EA24-487A-9589-442CEBC9F022}" destId="{683B8DA6-A1CD-41DC-A0B6-8629919544C2}" srcOrd="4" destOrd="0" presId="urn:microsoft.com/office/officeart/2005/8/layout/cycle4"/>
    <dgm:cxn modelId="{B8D1727E-324A-478F-8779-B8FDEC6420C0}" type="presParOf" srcId="{FB4666F9-16E1-4102-A8DF-D4DE1F96F299}" destId="{7841B843-255F-443F-9015-DDDB028CEB11}" srcOrd="2" destOrd="0" presId="urn:microsoft.com/office/officeart/2005/8/layout/cycle4"/>
    <dgm:cxn modelId="{1E709F4D-656B-4264-AEAB-313B55B97B75}" type="presParOf" srcId="{FB4666F9-16E1-4102-A8DF-D4DE1F96F299}" destId="{AC88878E-A1EA-4D5F-BBFC-5E476DB41E1C}" srcOrd="3" destOrd="0" presId="urn:microsoft.com/office/officeart/2005/8/layout/cycle4"/>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7E2FFC9-A2F2-433F-85EF-F4E619EF6D84}" type="doc">
      <dgm:prSet loTypeId="urn:microsoft.com/office/officeart/2005/8/layout/chevron2" loCatId="process" qsTypeId="urn:microsoft.com/office/officeart/2005/8/quickstyle/simple1#6" qsCatId="simple" csTypeId="urn:microsoft.com/office/officeart/2005/8/colors/accent1_2#5" csCatId="accent1" phldr="1"/>
      <dgm:spPr/>
      <dgm:t>
        <a:bodyPr/>
        <a:lstStyle/>
        <a:p>
          <a:endParaRPr lang="en-NZ"/>
        </a:p>
      </dgm:t>
    </dgm:pt>
    <dgm:pt modelId="{B2C94D03-C9A9-46CF-A4ED-114DF04611E2}">
      <dgm:prSet phldrT="[Text]"/>
      <dgm:spPr/>
      <dgm:t>
        <a:bodyPr/>
        <a:lstStyle/>
        <a:p>
          <a:r>
            <a:rPr lang="en-NZ"/>
            <a:t>Short term (next 12 months)</a:t>
          </a:r>
        </a:p>
      </dgm:t>
    </dgm:pt>
    <dgm:pt modelId="{B1AA50DD-5882-4944-9FC3-CFD57568E219}" type="parTrans" cxnId="{A86E5DB0-A7B4-4AF4-AEEF-94D7E3A52539}">
      <dgm:prSet/>
      <dgm:spPr/>
      <dgm:t>
        <a:bodyPr/>
        <a:lstStyle/>
        <a:p>
          <a:endParaRPr lang="en-NZ"/>
        </a:p>
      </dgm:t>
    </dgm:pt>
    <dgm:pt modelId="{FDC78272-4E22-4C01-8BB0-FC9AFE1F573B}" type="sibTrans" cxnId="{A86E5DB0-A7B4-4AF4-AEEF-94D7E3A52539}">
      <dgm:prSet/>
      <dgm:spPr/>
      <dgm:t>
        <a:bodyPr/>
        <a:lstStyle/>
        <a:p>
          <a:endParaRPr lang="en-NZ"/>
        </a:p>
      </dgm:t>
    </dgm:pt>
    <dgm:pt modelId="{D46194E7-0773-4007-92F9-966EC2979627}">
      <dgm:prSet phldrT="[Text]" custT="1"/>
      <dgm:spPr/>
      <dgm:t>
        <a:bodyPr/>
        <a:lstStyle/>
        <a:p>
          <a:r>
            <a:rPr lang="en-NZ" sz="1050"/>
            <a:t>Go to market for our reinsurance broking services contract</a:t>
          </a:r>
        </a:p>
      </dgm:t>
    </dgm:pt>
    <dgm:pt modelId="{C9686557-6750-493F-BE99-0771886656B6}" type="parTrans" cxnId="{A69D8BE4-DA65-4FC0-872B-409AA8644282}">
      <dgm:prSet/>
      <dgm:spPr/>
      <dgm:t>
        <a:bodyPr/>
        <a:lstStyle/>
        <a:p>
          <a:endParaRPr lang="en-NZ"/>
        </a:p>
      </dgm:t>
    </dgm:pt>
    <dgm:pt modelId="{15E7F85A-A091-474C-84C0-5C3C8CDAA788}" type="sibTrans" cxnId="{A69D8BE4-DA65-4FC0-872B-409AA8644282}">
      <dgm:prSet/>
      <dgm:spPr/>
      <dgm:t>
        <a:bodyPr/>
        <a:lstStyle/>
        <a:p>
          <a:endParaRPr lang="en-NZ"/>
        </a:p>
      </dgm:t>
    </dgm:pt>
    <dgm:pt modelId="{AEE11DDB-B6EB-43A7-AEB1-EE48169B2194}">
      <dgm:prSet phldrT="[Text]"/>
      <dgm:spPr/>
      <dgm:t>
        <a:bodyPr/>
        <a:lstStyle/>
        <a:p>
          <a:r>
            <a:rPr lang="en-NZ"/>
            <a:t>Medium term</a:t>
          </a:r>
        </a:p>
        <a:p>
          <a:r>
            <a:rPr lang="en-NZ"/>
            <a:t>1 - 3 years</a:t>
          </a:r>
        </a:p>
      </dgm:t>
    </dgm:pt>
    <dgm:pt modelId="{86107C85-0AD0-4872-9BED-FCE96C330B08}" type="parTrans" cxnId="{FBAA4FD8-44AD-4AEA-8568-6CE1C79AC999}">
      <dgm:prSet/>
      <dgm:spPr/>
      <dgm:t>
        <a:bodyPr/>
        <a:lstStyle/>
        <a:p>
          <a:endParaRPr lang="en-NZ"/>
        </a:p>
      </dgm:t>
    </dgm:pt>
    <dgm:pt modelId="{29EFE0F3-3884-40A1-9070-2F4B8A182D56}" type="sibTrans" cxnId="{FBAA4FD8-44AD-4AEA-8568-6CE1C79AC999}">
      <dgm:prSet/>
      <dgm:spPr/>
      <dgm:t>
        <a:bodyPr/>
        <a:lstStyle/>
        <a:p>
          <a:endParaRPr lang="en-NZ"/>
        </a:p>
      </dgm:t>
    </dgm:pt>
    <dgm:pt modelId="{7CC7476E-FB16-410D-81E5-5EFB0273DDBD}">
      <dgm:prSet phldrT="[Text]" custT="1"/>
      <dgm:spPr/>
      <dgm:t>
        <a:bodyPr/>
        <a:lstStyle/>
        <a:p>
          <a:r>
            <a:rPr lang="en-NZ" sz="1050"/>
            <a:t>Enhance assurance on NHI levy amounts to ensure that what we receive from insurers/brokers </a:t>
          </a:r>
          <a:r>
            <a:rPr lang="en-NZ" sz="1050" b="0" i="0"/>
            <a:t>is</a:t>
          </a:r>
          <a:r>
            <a:rPr lang="en-NZ" sz="1050"/>
            <a:t> accurate</a:t>
          </a:r>
        </a:p>
      </dgm:t>
    </dgm:pt>
    <dgm:pt modelId="{9D39589E-F65B-4610-A66A-57AE58B85C0F}" type="parTrans" cxnId="{04BD7548-A9CE-4E7B-AE0A-61A42EEEA17A}">
      <dgm:prSet/>
      <dgm:spPr/>
      <dgm:t>
        <a:bodyPr/>
        <a:lstStyle/>
        <a:p>
          <a:endParaRPr lang="en-NZ"/>
        </a:p>
      </dgm:t>
    </dgm:pt>
    <dgm:pt modelId="{A2B0E012-F353-4403-A9E8-F8B0CF9D8334}" type="sibTrans" cxnId="{04BD7548-A9CE-4E7B-AE0A-61A42EEEA17A}">
      <dgm:prSet/>
      <dgm:spPr/>
      <dgm:t>
        <a:bodyPr/>
        <a:lstStyle/>
        <a:p>
          <a:endParaRPr lang="en-NZ"/>
        </a:p>
      </dgm:t>
    </dgm:pt>
    <dgm:pt modelId="{C4BDDF00-2A21-402E-984C-DD064EEA8AEE}">
      <dgm:prSet phldrT="[Text]"/>
      <dgm:spPr/>
      <dgm:t>
        <a:bodyPr/>
        <a:lstStyle/>
        <a:p>
          <a:r>
            <a:rPr lang="en-NZ"/>
            <a:t>Long term</a:t>
          </a:r>
        </a:p>
        <a:p>
          <a:r>
            <a:rPr lang="en-NZ"/>
            <a:t>3 - 5 years</a:t>
          </a:r>
        </a:p>
      </dgm:t>
    </dgm:pt>
    <dgm:pt modelId="{4C857CD3-2A6C-44B1-BC8A-CA1752FD37BB}" type="parTrans" cxnId="{D1A1BF17-AFC3-4765-81D3-B00F5A5AF579}">
      <dgm:prSet/>
      <dgm:spPr/>
      <dgm:t>
        <a:bodyPr/>
        <a:lstStyle/>
        <a:p>
          <a:endParaRPr lang="en-NZ"/>
        </a:p>
      </dgm:t>
    </dgm:pt>
    <dgm:pt modelId="{C7A5CD62-B3B7-4756-949A-F82DF820BBD6}" type="sibTrans" cxnId="{D1A1BF17-AFC3-4765-81D3-B00F5A5AF579}">
      <dgm:prSet/>
      <dgm:spPr/>
      <dgm:t>
        <a:bodyPr/>
        <a:lstStyle/>
        <a:p>
          <a:endParaRPr lang="en-NZ"/>
        </a:p>
      </dgm:t>
    </dgm:pt>
    <dgm:pt modelId="{CA4EA522-CB04-4C45-82AD-478C67548AFB}">
      <dgm:prSet phldrT="[Text]" custT="1"/>
      <dgm:spPr/>
      <dgm:t>
        <a:bodyPr/>
        <a:lstStyle/>
        <a:p>
          <a:r>
            <a:rPr lang="en-NZ" sz="1050"/>
            <a:t>Prepare for the review of the Funding and Risk Management Statement for the period covering 1 July 2029 to 30 June 2034</a:t>
          </a:r>
        </a:p>
      </dgm:t>
    </dgm:pt>
    <dgm:pt modelId="{0708B458-5AD7-4EAC-B060-E7C646F7E967}" type="parTrans" cxnId="{99B2887F-5DF6-4949-9BEA-D0027AD6EDF2}">
      <dgm:prSet/>
      <dgm:spPr/>
      <dgm:t>
        <a:bodyPr/>
        <a:lstStyle/>
        <a:p>
          <a:endParaRPr lang="en-NZ"/>
        </a:p>
      </dgm:t>
    </dgm:pt>
    <dgm:pt modelId="{5DC566EE-78DC-46C6-8CAD-5C48D9EAE354}" type="sibTrans" cxnId="{99B2887F-5DF6-4949-9BEA-D0027AD6EDF2}">
      <dgm:prSet/>
      <dgm:spPr/>
      <dgm:t>
        <a:bodyPr/>
        <a:lstStyle/>
        <a:p>
          <a:endParaRPr lang="en-NZ"/>
        </a:p>
      </dgm:t>
    </dgm:pt>
    <dgm:pt modelId="{CE3A8857-CCB2-4EE1-AC4C-24774D3086A8}">
      <dgm:prSet phldrT="[Text]" custT="1"/>
      <dgm:spPr/>
      <dgm:t>
        <a:bodyPr/>
        <a:lstStyle/>
        <a:p>
          <a:r>
            <a:rPr lang="en-NZ" sz="1050"/>
            <a:t>Develop the policies and operating structure outlined in the Statement of Investment Policy and Objectives (SIPO)</a:t>
          </a:r>
        </a:p>
      </dgm:t>
    </dgm:pt>
    <dgm:pt modelId="{9517E47F-8785-416D-A256-AF55119EF043}" type="parTrans" cxnId="{6F14E71F-37EF-4B9E-B94A-0BEB29D1D066}">
      <dgm:prSet/>
      <dgm:spPr/>
      <dgm:t>
        <a:bodyPr/>
        <a:lstStyle/>
        <a:p>
          <a:endParaRPr lang="en-NZ"/>
        </a:p>
      </dgm:t>
    </dgm:pt>
    <dgm:pt modelId="{A552743B-D583-4ADB-A339-5B53BCC4BDBA}" type="sibTrans" cxnId="{6F14E71F-37EF-4B9E-B94A-0BEB29D1D066}">
      <dgm:prSet/>
      <dgm:spPr/>
      <dgm:t>
        <a:bodyPr/>
        <a:lstStyle/>
        <a:p>
          <a:endParaRPr lang="en-NZ"/>
        </a:p>
      </dgm:t>
    </dgm:pt>
    <dgm:pt modelId="{C09F9BD8-1E8F-4CC5-B39A-0F922B86015A}">
      <dgm:prSet phldrT="[Text]" custT="1"/>
      <dgm:spPr/>
      <dgm:t>
        <a:bodyPr/>
        <a:lstStyle/>
        <a:p>
          <a:r>
            <a:rPr lang="en-NZ" sz="1050"/>
            <a:t>Develop and embed the Reinsurance Management Statement </a:t>
          </a:r>
        </a:p>
      </dgm:t>
    </dgm:pt>
    <dgm:pt modelId="{B03AD00A-2C5A-49D4-8D73-540191280322}" type="parTrans" cxnId="{0F91F3EF-7F94-4313-8F7D-E824EF96353A}">
      <dgm:prSet/>
      <dgm:spPr/>
      <dgm:t>
        <a:bodyPr/>
        <a:lstStyle/>
        <a:p>
          <a:endParaRPr lang="en-NZ"/>
        </a:p>
      </dgm:t>
    </dgm:pt>
    <dgm:pt modelId="{E27BD679-0392-465C-8094-6FD03ED0593F}" type="sibTrans" cxnId="{0F91F3EF-7F94-4313-8F7D-E824EF96353A}">
      <dgm:prSet/>
      <dgm:spPr/>
      <dgm:t>
        <a:bodyPr/>
        <a:lstStyle/>
        <a:p>
          <a:endParaRPr lang="en-NZ"/>
        </a:p>
      </dgm:t>
    </dgm:pt>
    <dgm:pt modelId="{0381479D-1EA1-4AC2-8A44-72BA86294827}">
      <dgm:prSet phldrT="[Text]" custT="1"/>
      <dgm:spPr/>
      <dgm:t>
        <a:bodyPr/>
        <a:lstStyle/>
        <a:p>
          <a:endParaRPr lang="en-NZ" sz="1050"/>
        </a:p>
      </dgm:t>
    </dgm:pt>
    <dgm:pt modelId="{CDD91551-F87C-4BC8-963E-0CB584E45B31}" type="parTrans" cxnId="{B65A63C8-17DF-43C9-9C17-B2FEBB838100}">
      <dgm:prSet/>
      <dgm:spPr/>
      <dgm:t>
        <a:bodyPr/>
        <a:lstStyle/>
        <a:p>
          <a:endParaRPr lang="en-NZ"/>
        </a:p>
      </dgm:t>
    </dgm:pt>
    <dgm:pt modelId="{CAF54ADB-A452-4277-B745-3AD2A476C46D}" type="sibTrans" cxnId="{B65A63C8-17DF-43C9-9C17-B2FEBB838100}">
      <dgm:prSet/>
      <dgm:spPr/>
      <dgm:t>
        <a:bodyPr/>
        <a:lstStyle/>
        <a:p>
          <a:endParaRPr lang="en-NZ"/>
        </a:p>
      </dgm:t>
    </dgm:pt>
    <dgm:pt modelId="{4933A1D5-5606-4D27-B2CA-EA1B4A1159D0}">
      <dgm:prSet phldrT="[Text]" custT="1"/>
      <dgm:spPr/>
      <dgm:t>
        <a:bodyPr/>
        <a:lstStyle/>
        <a:p>
          <a:r>
            <a:rPr lang="en-NZ" sz="1050"/>
            <a:t>Embed the successful reinsurance broking services tenderer/s</a:t>
          </a:r>
        </a:p>
      </dgm:t>
    </dgm:pt>
    <dgm:pt modelId="{DB2774DF-C85C-416A-8FE0-C81F27FC8C20}" type="parTrans" cxnId="{80B21D91-1454-4772-A35E-4AC13E702CD9}">
      <dgm:prSet/>
      <dgm:spPr/>
      <dgm:t>
        <a:bodyPr/>
        <a:lstStyle/>
        <a:p>
          <a:endParaRPr lang="en-NZ"/>
        </a:p>
      </dgm:t>
    </dgm:pt>
    <dgm:pt modelId="{68097A90-F9D8-48E2-8DF9-C15CAEB8B380}" type="sibTrans" cxnId="{80B21D91-1454-4772-A35E-4AC13E702CD9}">
      <dgm:prSet/>
      <dgm:spPr/>
      <dgm:t>
        <a:bodyPr/>
        <a:lstStyle/>
        <a:p>
          <a:endParaRPr lang="en-NZ"/>
        </a:p>
      </dgm:t>
    </dgm:pt>
    <dgm:pt modelId="{FA82220F-F260-47C7-A5A1-FDD22EEF000E}">
      <dgm:prSet phldrT="[Text]" custT="1"/>
      <dgm:spPr/>
      <dgm:t>
        <a:bodyPr/>
        <a:lstStyle/>
        <a:p>
          <a:r>
            <a:rPr lang="en-NZ" sz="1050"/>
            <a:t>Complete the implementation of the SIPO, including the investment and diversification of the assets held in the NHF</a:t>
          </a:r>
        </a:p>
      </dgm:t>
    </dgm:pt>
    <dgm:pt modelId="{2B096488-6289-4699-8D56-0FFA53CE9AA1}" type="parTrans" cxnId="{B889E473-6A07-476C-9E81-2353C36C1687}">
      <dgm:prSet/>
      <dgm:spPr/>
      <dgm:t>
        <a:bodyPr/>
        <a:lstStyle/>
        <a:p>
          <a:endParaRPr lang="en-NZ"/>
        </a:p>
      </dgm:t>
    </dgm:pt>
    <dgm:pt modelId="{A06D0731-867E-413F-9393-9EC28610A4B5}" type="sibTrans" cxnId="{B889E473-6A07-476C-9E81-2353C36C1687}">
      <dgm:prSet/>
      <dgm:spPr/>
      <dgm:t>
        <a:bodyPr/>
        <a:lstStyle/>
        <a:p>
          <a:endParaRPr lang="en-NZ"/>
        </a:p>
      </dgm:t>
    </dgm:pt>
    <dgm:pt modelId="{A87FDD5F-6147-4A0B-BF08-F15F4BC91DB8}">
      <dgm:prSet phldrT="[Text]" custT="1"/>
      <dgm:spPr/>
      <dgm:t>
        <a:bodyPr/>
        <a:lstStyle/>
        <a:p>
          <a:r>
            <a:rPr lang="en-NZ" sz="1050"/>
            <a:t>Develop our understanding with the Treasury on the Crown’s preference for how the Crown Guarantee could be provided</a:t>
          </a:r>
        </a:p>
      </dgm:t>
    </dgm:pt>
    <dgm:pt modelId="{C7E9A565-261A-4F8A-9595-6A3BB3A16E75}" type="parTrans" cxnId="{935B80CE-5467-42F9-B188-29511099B0ED}">
      <dgm:prSet/>
      <dgm:spPr/>
      <dgm:t>
        <a:bodyPr/>
        <a:lstStyle/>
        <a:p>
          <a:endParaRPr lang="en-NZ"/>
        </a:p>
      </dgm:t>
    </dgm:pt>
    <dgm:pt modelId="{37B519B9-ECAF-4E49-9B8A-737ED021EBDF}" type="sibTrans" cxnId="{935B80CE-5467-42F9-B188-29511099B0ED}">
      <dgm:prSet/>
      <dgm:spPr/>
      <dgm:t>
        <a:bodyPr/>
        <a:lstStyle/>
        <a:p>
          <a:endParaRPr lang="en-NZ"/>
        </a:p>
      </dgm:t>
    </dgm:pt>
    <dgm:pt modelId="{839D5D1D-FE38-4726-B2A5-D15504B60777}">
      <dgm:prSet phldrT="[Text]" custT="1"/>
      <dgm:spPr/>
      <dgm:t>
        <a:bodyPr/>
        <a:lstStyle/>
        <a:p>
          <a:endParaRPr lang="en-NZ" sz="1050">
            <a:highlight>
              <a:srgbClr val="FFFF00"/>
            </a:highlight>
          </a:endParaRPr>
        </a:p>
      </dgm:t>
    </dgm:pt>
    <dgm:pt modelId="{58A10A9E-C3BD-4383-BD9C-B85B7F7AA609}" type="parTrans" cxnId="{EB264A29-45B2-4DC6-A8B1-7FE79E5B6632}">
      <dgm:prSet/>
      <dgm:spPr/>
      <dgm:t>
        <a:bodyPr/>
        <a:lstStyle/>
        <a:p>
          <a:endParaRPr lang="en-NZ"/>
        </a:p>
      </dgm:t>
    </dgm:pt>
    <dgm:pt modelId="{B121363D-13A4-480D-ADBB-737E5E12DCD8}" type="sibTrans" cxnId="{EB264A29-45B2-4DC6-A8B1-7FE79E5B6632}">
      <dgm:prSet/>
      <dgm:spPr/>
      <dgm:t>
        <a:bodyPr/>
        <a:lstStyle/>
        <a:p>
          <a:endParaRPr lang="en-NZ"/>
        </a:p>
      </dgm:t>
    </dgm:pt>
    <dgm:pt modelId="{F7DAF676-B50B-4491-8DE9-1D7FBDAD772F}" type="pres">
      <dgm:prSet presAssocID="{37E2FFC9-A2F2-433F-85EF-F4E619EF6D84}" presName="linearFlow" presStyleCnt="0">
        <dgm:presLayoutVars>
          <dgm:dir/>
          <dgm:animLvl val="lvl"/>
          <dgm:resizeHandles val="exact"/>
        </dgm:presLayoutVars>
      </dgm:prSet>
      <dgm:spPr/>
    </dgm:pt>
    <dgm:pt modelId="{5AAE4A91-088A-4663-88B1-D32E939075A1}" type="pres">
      <dgm:prSet presAssocID="{B2C94D03-C9A9-46CF-A4ED-114DF04611E2}" presName="composite" presStyleCnt="0"/>
      <dgm:spPr/>
    </dgm:pt>
    <dgm:pt modelId="{40E3DDE8-5B9F-4EB3-A17F-BD12695DDD0E}" type="pres">
      <dgm:prSet presAssocID="{B2C94D03-C9A9-46CF-A4ED-114DF04611E2}" presName="parentText" presStyleLbl="alignNode1" presStyleIdx="0" presStyleCnt="3">
        <dgm:presLayoutVars>
          <dgm:chMax val="1"/>
          <dgm:bulletEnabled val="1"/>
        </dgm:presLayoutVars>
      </dgm:prSet>
      <dgm:spPr/>
    </dgm:pt>
    <dgm:pt modelId="{4D9AE519-61F2-4BAF-AA71-830CBB3D152C}" type="pres">
      <dgm:prSet presAssocID="{B2C94D03-C9A9-46CF-A4ED-114DF04611E2}" presName="descendantText" presStyleLbl="alignAcc1" presStyleIdx="0" presStyleCnt="3">
        <dgm:presLayoutVars>
          <dgm:bulletEnabled val="1"/>
        </dgm:presLayoutVars>
      </dgm:prSet>
      <dgm:spPr/>
    </dgm:pt>
    <dgm:pt modelId="{415C680C-6207-4E3F-8178-F954FC646AE0}" type="pres">
      <dgm:prSet presAssocID="{FDC78272-4E22-4C01-8BB0-FC9AFE1F573B}" presName="sp" presStyleCnt="0"/>
      <dgm:spPr/>
    </dgm:pt>
    <dgm:pt modelId="{97E11187-52B7-4D38-B855-57495572B5A5}" type="pres">
      <dgm:prSet presAssocID="{AEE11DDB-B6EB-43A7-AEB1-EE48169B2194}" presName="composite" presStyleCnt="0"/>
      <dgm:spPr/>
    </dgm:pt>
    <dgm:pt modelId="{203E1D0E-76D1-4C5F-B72F-6C4AF2B8CFBD}" type="pres">
      <dgm:prSet presAssocID="{AEE11DDB-B6EB-43A7-AEB1-EE48169B2194}" presName="parentText" presStyleLbl="alignNode1" presStyleIdx="1" presStyleCnt="3">
        <dgm:presLayoutVars>
          <dgm:chMax val="1"/>
          <dgm:bulletEnabled val="1"/>
        </dgm:presLayoutVars>
      </dgm:prSet>
      <dgm:spPr/>
    </dgm:pt>
    <dgm:pt modelId="{A0A1CDA9-FD46-4789-AA80-7C2E224D8965}" type="pres">
      <dgm:prSet presAssocID="{AEE11DDB-B6EB-43A7-AEB1-EE48169B2194}" presName="descendantText" presStyleLbl="alignAcc1" presStyleIdx="1" presStyleCnt="3">
        <dgm:presLayoutVars>
          <dgm:bulletEnabled val="1"/>
        </dgm:presLayoutVars>
      </dgm:prSet>
      <dgm:spPr/>
    </dgm:pt>
    <dgm:pt modelId="{94EA3BBA-E099-4374-9CBC-A4772733841B}" type="pres">
      <dgm:prSet presAssocID="{29EFE0F3-3884-40A1-9070-2F4B8A182D56}" presName="sp" presStyleCnt="0"/>
      <dgm:spPr/>
    </dgm:pt>
    <dgm:pt modelId="{75D0DE62-8A86-468C-B90F-01E8522812C5}" type="pres">
      <dgm:prSet presAssocID="{C4BDDF00-2A21-402E-984C-DD064EEA8AEE}" presName="composite" presStyleCnt="0"/>
      <dgm:spPr/>
    </dgm:pt>
    <dgm:pt modelId="{19CBE68E-FDCD-4968-BB2B-78450C6ACCB4}" type="pres">
      <dgm:prSet presAssocID="{C4BDDF00-2A21-402E-984C-DD064EEA8AEE}" presName="parentText" presStyleLbl="alignNode1" presStyleIdx="2" presStyleCnt="3">
        <dgm:presLayoutVars>
          <dgm:chMax val="1"/>
          <dgm:bulletEnabled val="1"/>
        </dgm:presLayoutVars>
      </dgm:prSet>
      <dgm:spPr/>
    </dgm:pt>
    <dgm:pt modelId="{45A20E11-F9D2-484A-8331-B712A4F4F11E}" type="pres">
      <dgm:prSet presAssocID="{C4BDDF00-2A21-402E-984C-DD064EEA8AEE}" presName="descendantText" presStyleLbl="alignAcc1" presStyleIdx="2" presStyleCnt="3">
        <dgm:presLayoutVars>
          <dgm:bulletEnabled val="1"/>
        </dgm:presLayoutVars>
      </dgm:prSet>
      <dgm:spPr/>
    </dgm:pt>
  </dgm:ptLst>
  <dgm:cxnLst>
    <dgm:cxn modelId="{047DC709-EC48-48C0-AC7B-31E53B441CC8}" type="presOf" srcId="{4933A1D5-5606-4D27-B2CA-EA1B4A1159D0}" destId="{A0A1CDA9-FD46-4789-AA80-7C2E224D8965}" srcOrd="0" destOrd="2" presId="urn:microsoft.com/office/officeart/2005/8/layout/chevron2"/>
    <dgm:cxn modelId="{1D1BA60C-106B-4356-8680-D7A65E451170}" type="presOf" srcId="{7CC7476E-FB16-410D-81E5-5EFB0273DDBD}" destId="{A0A1CDA9-FD46-4789-AA80-7C2E224D8965}" srcOrd="0" destOrd="0" presId="urn:microsoft.com/office/officeart/2005/8/layout/chevron2"/>
    <dgm:cxn modelId="{D1A1BF17-AFC3-4765-81D3-B00F5A5AF579}" srcId="{37E2FFC9-A2F2-433F-85EF-F4E619EF6D84}" destId="{C4BDDF00-2A21-402E-984C-DD064EEA8AEE}" srcOrd="2" destOrd="0" parTransId="{4C857CD3-2A6C-44B1-BC8A-CA1752FD37BB}" sibTransId="{C7A5CD62-B3B7-4756-949A-F82DF820BBD6}"/>
    <dgm:cxn modelId="{6F14E71F-37EF-4B9E-B94A-0BEB29D1D066}" srcId="{B2C94D03-C9A9-46CF-A4ED-114DF04611E2}" destId="{CE3A8857-CCB2-4EE1-AC4C-24774D3086A8}" srcOrd="1" destOrd="0" parTransId="{9517E47F-8785-416D-A256-AF55119EF043}" sibTransId="{A552743B-D583-4ADB-A339-5B53BCC4BDBA}"/>
    <dgm:cxn modelId="{EB264A29-45B2-4DC6-A8B1-7FE79E5B6632}" srcId="{C4BDDF00-2A21-402E-984C-DD064EEA8AEE}" destId="{839D5D1D-FE38-4726-B2A5-D15504B60777}" srcOrd="0" destOrd="0" parTransId="{58A10A9E-C3BD-4383-BD9C-B85B7F7AA609}" sibTransId="{B121363D-13A4-480D-ADBB-737E5E12DCD8}"/>
    <dgm:cxn modelId="{0999D343-2400-4B3F-BE47-8B1CDEE29325}" type="presOf" srcId="{FA82220F-F260-47C7-A5A1-FDD22EEF000E}" destId="{A0A1CDA9-FD46-4789-AA80-7C2E224D8965}" srcOrd="0" destOrd="3" presId="urn:microsoft.com/office/officeart/2005/8/layout/chevron2"/>
    <dgm:cxn modelId="{04BD7548-A9CE-4E7B-AE0A-61A42EEEA17A}" srcId="{AEE11DDB-B6EB-43A7-AEB1-EE48169B2194}" destId="{7CC7476E-FB16-410D-81E5-5EFB0273DDBD}" srcOrd="0" destOrd="0" parTransId="{9D39589E-F65B-4610-A66A-57AE58B85C0F}" sibTransId="{A2B0E012-F353-4403-A9E8-F8B0CF9D8334}"/>
    <dgm:cxn modelId="{73ED8C49-D65C-4678-866F-F18371F0426A}" type="presOf" srcId="{AEE11DDB-B6EB-43A7-AEB1-EE48169B2194}" destId="{203E1D0E-76D1-4C5F-B72F-6C4AF2B8CFBD}" srcOrd="0" destOrd="0" presId="urn:microsoft.com/office/officeart/2005/8/layout/chevron2"/>
    <dgm:cxn modelId="{B889E473-6A07-476C-9E81-2353C36C1687}" srcId="{AEE11DDB-B6EB-43A7-AEB1-EE48169B2194}" destId="{FA82220F-F260-47C7-A5A1-FDD22EEF000E}" srcOrd="3" destOrd="0" parTransId="{2B096488-6289-4699-8D56-0FFA53CE9AA1}" sibTransId="{A06D0731-867E-413F-9393-9EC28610A4B5}"/>
    <dgm:cxn modelId="{99B2887F-5DF6-4949-9BEA-D0027AD6EDF2}" srcId="{C4BDDF00-2A21-402E-984C-DD064EEA8AEE}" destId="{CA4EA522-CB04-4C45-82AD-478C67548AFB}" srcOrd="1" destOrd="0" parTransId="{0708B458-5AD7-4EAC-B060-E7C646F7E967}" sibTransId="{5DC566EE-78DC-46C6-8CAD-5C48D9EAE354}"/>
    <dgm:cxn modelId="{80B21D91-1454-4772-A35E-4AC13E702CD9}" srcId="{AEE11DDB-B6EB-43A7-AEB1-EE48169B2194}" destId="{4933A1D5-5606-4D27-B2CA-EA1B4A1159D0}" srcOrd="2" destOrd="0" parTransId="{DB2774DF-C85C-416A-8FE0-C81F27FC8C20}" sibTransId="{68097A90-F9D8-48E2-8DF9-C15CAEB8B380}"/>
    <dgm:cxn modelId="{CB997EA9-B812-4031-9EDC-013EB315FE83}" type="presOf" srcId="{D46194E7-0773-4007-92F9-966EC2979627}" destId="{4D9AE519-61F2-4BAF-AA71-830CBB3D152C}" srcOrd="0" destOrd="0" presId="urn:microsoft.com/office/officeart/2005/8/layout/chevron2"/>
    <dgm:cxn modelId="{A86E5DB0-A7B4-4AF4-AEEF-94D7E3A52539}" srcId="{37E2FFC9-A2F2-433F-85EF-F4E619EF6D84}" destId="{B2C94D03-C9A9-46CF-A4ED-114DF04611E2}" srcOrd="0" destOrd="0" parTransId="{B1AA50DD-5882-4944-9FC3-CFD57568E219}" sibTransId="{FDC78272-4E22-4C01-8BB0-FC9AFE1F573B}"/>
    <dgm:cxn modelId="{41E6A2B6-F6D8-437D-88D6-81C4EEA4460A}" type="presOf" srcId="{CA4EA522-CB04-4C45-82AD-478C67548AFB}" destId="{45A20E11-F9D2-484A-8331-B712A4F4F11E}" srcOrd="0" destOrd="1" presId="urn:microsoft.com/office/officeart/2005/8/layout/chevron2"/>
    <dgm:cxn modelId="{A6285BBD-2144-4A0F-B6D9-1D227374E222}" type="presOf" srcId="{37E2FFC9-A2F2-433F-85EF-F4E619EF6D84}" destId="{F7DAF676-B50B-4491-8DE9-1D7FBDAD772F}" srcOrd="0" destOrd="0" presId="urn:microsoft.com/office/officeart/2005/8/layout/chevron2"/>
    <dgm:cxn modelId="{F245C0BE-0821-46ED-94EB-87A8EDA50795}" type="presOf" srcId="{CE3A8857-CCB2-4EE1-AC4C-24774D3086A8}" destId="{4D9AE519-61F2-4BAF-AA71-830CBB3D152C}" srcOrd="0" destOrd="1" presId="urn:microsoft.com/office/officeart/2005/8/layout/chevron2"/>
    <dgm:cxn modelId="{B65A63C8-17DF-43C9-9C17-B2FEBB838100}" srcId="{B2C94D03-C9A9-46CF-A4ED-114DF04611E2}" destId="{0381479D-1EA1-4AC2-8A44-72BA86294827}" srcOrd="3" destOrd="0" parTransId="{CDD91551-F87C-4BC8-963E-0CB584E45B31}" sibTransId="{CAF54ADB-A452-4277-B745-3AD2A476C46D}"/>
    <dgm:cxn modelId="{935B80CE-5467-42F9-B188-29511099B0ED}" srcId="{AEE11DDB-B6EB-43A7-AEB1-EE48169B2194}" destId="{A87FDD5F-6147-4A0B-BF08-F15F4BC91DB8}" srcOrd="1" destOrd="0" parTransId="{C7E9A565-261A-4F8A-9595-6A3BB3A16E75}" sibTransId="{37B519B9-ECAF-4E49-9B8A-737ED021EBDF}"/>
    <dgm:cxn modelId="{FBAA4FD8-44AD-4AEA-8568-6CE1C79AC999}" srcId="{37E2FFC9-A2F2-433F-85EF-F4E619EF6D84}" destId="{AEE11DDB-B6EB-43A7-AEB1-EE48169B2194}" srcOrd="1" destOrd="0" parTransId="{86107C85-0AD0-4872-9BED-FCE96C330B08}" sibTransId="{29EFE0F3-3884-40A1-9070-2F4B8A182D56}"/>
    <dgm:cxn modelId="{5D689ADB-133B-4AE3-B174-114C0144CDDB}" type="presOf" srcId="{C09F9BD8-1E8F-4CC5-B39A-0F922B86015A}" destId="{4D9AE519-61F2-4BAF-AA71-830CBB3D152C}" srcOrd="0" destOrd="2" presId="urn:microsoft.com/office/officeart/2005/8/layout/chevron2"/>
    <dgm:cxn modelId="{453744E4-AC07-44C9-A097-8C56AB0F99CD}" type="presOf" srcId="{0381479D-1EA1-4AC2-8A44-72BA86294827}" destId="{4D9AE519-61F2-4BAF-AA71-830CBB3D152C}" srcOrd="0" destOrd="3" presId="urn:microsoft.com/office/officeart/2005/8/layout/chevron2"/>
    <dgm:cxn modelId="{A69D8BE4-DA65-4FC0-872B-409AA8644282}" srcId="{B2C94D03-C9A9-46CF-A4ED-114DF04611E2}" destId="{D46194E7-0773-4007-92F9-966EC2979627}" srcOrd="0" destOrd="0" parTransId="{C9686557-6750-493F-BE99-0771886656B6}" sibTransId="{15E7F85A-A091-474C-84C0-5C3C8CDAA788}"/>
    <dgm:cxn modelId="{082987ED-B1FC-40F4-A9A6-69A5EDCB9FEA}" type="presOf" srcId="{839D5D1D-FE38-4726-B2A5-D15504B60777}" destId="{45A20E11-F9D2-484A-8331-B712A4F4F11E}" srcOrd="0" destOrd="0" presId="urn:microsoft.com/office/officeart/2005/8/layout/chevron2"/>
    <dgm:cxn modelId="{828CE5ED-6035-4E19-8AE9-20FC4A45629A}" type="presOf" srcId="{A87FDD5F-6147-4A0B-BF08-F15F4BC91DB8}" destId="{A0A1CDA9-FD46-4789-AA80-7C2E224D8965}" srcOrd="0" destOrd="1" presId="urn:microsoft.com/office/officeart/2005/8/layout/chevron2"/>
    <dgm:cxn modelId="{0F91F3EF-7F94-4313-8F7D-E824EF96353A}" srcId="{B2C94D03-C9A9-46CF-A4ED-114DF04611E2}" destId="{C09F9BD8-1E8F-4CC5-B39A-0F922B86015A}" srcOrd="2" destOrd="0" parTransId="{B03AD00A-2C5A-49D4-8D73-540191280322}" sibTransId="{E27BD679-0392-465C-8094-6FD03ED0593F}"/>
    <dgm:cxn modelId="{A1EF44F1-4A08-49B0-A85A-CB445D6FF298}" type="presOf" srcId="{B2C94D03-C9A9-46CF-A4ED-114DF04611E2}" destId="{40E3DDE8-5B9F-4EB3-A17F-BD12695DDD0E}" srcOrd="0" destOrd="0" presId="urn:microsoft.com/office/officeart/2005/8/layout/chevron2"/>
    <dgm:cxn modelId="{EC341BFE-1724-4E9F-A498-69D402841724}" type="presOf" srcId="{C4BDDF00-2A21-402E-984C-DD064EEA8AEE}" destId="{19CBE68E-FDCD-4968-BB2B-78450C6ACCB4}" srcOrd="0" destOrd="0" presId="urn:microsoft.com/office/officeart/2005/8/layout/chevron2"/>
    <dgm:cxn modelId="{872EFEB5-5B29-406E-9003-536067C46E9F}" type="presParOf" srcId="{F7DAF676-B50B-4491-8DE9-1D7FBDAD772F}" destId="{5AAE4A91-088A-4663-88B1-D32E939075A1}" srcOrd="0" destOrd="0" presId="urn:microsoft.com/office/officeart/2005/8/layout/chevron2"/>
    <dgm:cxn modelId="{E22A178F-3B16-4A53-B48E-106C156C4DD7}" type="presParOf" srcId="{5AAE4A91-088A-4663-88B1-D32E939075A1}" destId="{40E3DDE8-5B9F-4EB3-A17F-BD12695DDD0E}" srcOrd="0" destOrd="0" presId="urn:microsoft.com/office/officeart/2005/8/layout/chevron2"/>
    <dgm:cxn modelId="{043F5C40-19A9-4600-A728-BEFDE05CB1EF}" type="presParOf" srcId="{5AAE4A91-088A-4663-88B1-D32E939075A1}" destId="{4D9AE519-61F2-4BAF-AA71-830CBB3D152C}" srcOrd="1" destOrd="0" presId="urn:microsoft.com/office/officeart/2005/8/layout/chevron2"/>
    <dgm:cxn modelId="{587C24BA-F9B0-4CBF-97D7-C95E54AE3552}" type="presParOf" srcId="{F7DAF676-B50B-4491-8DE9-1D7FBDAD772F}" destId="{415C680C-6207-4E3F-8178-F954FC646AE0}" srcOrd="1" destOrd="0" presId="urn:microsoft.com/office/officeart/2005/8/layout/chevron2"/>
    <dgm:cxn modelId="{0E44C629-0146-4B07-977D-BBB0E30A4CCB}" type="presParOf" srcId="{F7DAF676-B50B-4491-8DE9-1D7FBDAD772F}" destId="{97E11187-52B7-4D38-B855-57495572B5A5}" srcOrd="2" destOrd="0" presId="urn:microsoft.com/office/officeart/2005/8/layout/chevron2"/>
    <dgm:cxn modelId="{C9CDB7DB-C163-4621-97E0-D7DD624FF103}" type="presParOf" srcId="{97E11187-52B7-4D38-B855-57495572B5A5}" destId="{203E1D0E-76D1-4C5F-B72F-6C4AF2B8CFBD}" srcOrd="0" destOrd="0" presId="urn:microsoft.com/office/officeart/2005/8/layout/chevron2"/>
    <dgm:cxn modelId="{62A2CE8E-C2B8-4B31-B4A8-C52C9DF89483}" type="presParOf" srcId="{97E11187-52B7-4D38-B855-57495572B5A5}" destId="{A0A1CDA9-FD46-4789-AA80-7C2E224D8965}" srcOrd="1" destOrd="0" presId="urn:microsoft.com/office/officeart/2005/8/layout/chevron2"/>
    <dgm:cxn modelId="{2926BA9F-47AE-4B1F-8DFA-2CE8690FA02C}" type="presParOf" srcId="{F7DAF676-B50B-4491-8DE9-1D7FBDAD772F}" destId="{94EA3BBA-E099-4374-9CBC-A4772733841B}" srcOrd="3" destOrd="0" presId="urn:microsoft.com/office/officeart/2005/8/layout/chevron2"/>
    <dgm:cxn modelId="{77053C09-1F96-4494-A0D0-FFD2DD8D7CF8}" type="presParOf" srcId="{F7DAF676-B50B-4491-8DE9-1D7FBDAD772F}" destId="{75D0DE62-8A86-468C-B90F-01E8522812C5}" srcOrd="4" destOrd="0" presId="urn:microsoft.com/office/officeart/2005/8/layout/chevron2"/>
    <dgm:cxn modelId="{80C05BBA-0337-4D1A-9978-9E409CBE7D26}" type="presParOf" srcId="{75D0DE62-8A86-468C-B90F-01E8522812C5}" destId="{19CBE68E-FDCD-4968-BB2B-78450C6ACCB4}" srcOrd="0" destOrd="0" presId="urn:microsoft.com/office/officeart/2005/8/layout/chevron2"/>
    <dgm:cxn modelId="{1C1D006D-AE72-4D55-B486-B74266B18AB4}" type="presParOf" srcId="{75D0DE62-8A86-468C-B90F-01E8522812C5}" destId="{45A20E11-F9D2-484A-8331-B712A4F4F11E}" srcOrd="1" destOrd="0" presId="urn:microsoft.com/office/officeart/2005/8/layout/chevron2"/>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7DCCA9-3CF4-469F-9318-3B1E604C54DB}">
      <dsp:nvSpPr>
        <dsp:cNvPr id="0" name=""/>
        <dsp:cNvSpPr/>
      </dsp:nvSpPr>
      <dsp:spPr>
        <a:xfrm>
          <a:off x="0" y="6646346"/>
          <a:ext cx="5753100" cy="87232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NZ" sz="1600" kern="1200"/>
            <a:t>Outcome</a:t>
          </a:r>
        </a:p>
      </dsp:txBody>
      <dsp:txXfrm>
        <a:off x="0" y="6646346"/>
        <a:ext cx="5753100" cy="471057"/>
      </dsp:txXfrm>
    </dsp:sp>
    <dsp:sp modelId="{0A464980-CB8A-4F29-AED0-93ADA0A4562E}">
      <dsp:nvSpPr>
        <dsp:cNvPr id="0" name=""/>
        <dsp:cNvSpPr/>
      </dsp:nvSpPr>
      <dsp:spPr>
        <a:xfrm>
          <a:off x="0" y="7099957"/>
          <a:ext cx="5753100" cy="40127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l" defTabSz="311150">
            <a:lnSpc>
              <a:spcPct val="90000"/>
            </a:lnSpc>
            <a:spcBef>
              <a:spcPct val="0"/>
            </a:spcBef>
            <a:spcAft>
              <a:spcPct val="35000"/>
            </a:spcAft>
            <a:buFont typeface="Symbol" panose="05050102010706020507" pitchFamily="18" charset="2"/>
            <a:buNone/>
          </a:pPr>
          <a:r>
            <a:rPr lang="en-GB" sz="700" kern="1200"/>
            <a:t>Homeowners have access to an affordable, sustainable insurance to help manage financial impacts of natural hazard events.</a:t>
          </a:r>
          <a:endParaRPr lang="en-NZ" sz="700" kern="1200"/>
        </a:p>
      </dsp:txBody>
      <dsp:txXfrm>
        <a:off x="0" y="7099957"/>
        <a:ext cx="5753100" cy="401271"/>
      </dsp:txXfrm>
    </dsp:sp>
    <dsp:sp modelId="{F4678D34-DD34-4141-8CEE-71C3167AD5FE}">
      <dsp:nvSpPr>
        <dsp:cNvPr id="0" name=""/>
        <dsp:cNvSpPr/>
      </dsp:nvSpPr>
      <dsp:spPr>
        <a:xfrm rot="10800000">
          <a:off x="0" y="5317788"/>
          <a:ext cx="5753100" cy="1341642"/>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NZ" sz="1600" kern="1200"/>
            <a:t>We do this through </a:t>
          </a:r>
        </a:p>
      </dsp:txBody>
      <dsp:txXfrm rot="-10800000">
        <a:off x="0" y="5317788"/>
        <a:ext cx="5753100" cy="470916"/>
      </dsp:txXfrm>
    </dsp:sp>
    <dsp:sp modelId="{004CE783-8F3C-4712-8A91-80965F783605}">
      <dsp:nvSpPr>
        <dsp:cNvPr id="0" name=""/>
        <dsp:cNvSpPr/>
      </dsp:nvSpPr>
      <dsp:spPr>
        <a:xfrm>
          <a:off x="2809" y="5788705"/>
          <a:ext cx="957913"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ctr" defTabSz="311150">
            <a:lnSpc>
              <a:spcPct val="90000"/>
            </a:lnSpc>
            <a:spcBef>
              <a:spcPct val="0"/>
            </a:spcBef>
            <a:spcAft>
              <a:spcPct val="35000"/>
            </a:spcAft>
            <a:buNone/>
          </a:pPr>
          <a:r>
            <a:rPr lang="en-NZ" sz="700" kern="1200"/>
            <a:t>Risk Transfer</a:t>
          </a:r>
        </a:p>
      </dsp:txBody>
      <dsp:txXfrm>
        <a:off x="2809" y="5788705"/>
        <a:ext cx="957913" cy="401151"/>
      </dsp:txXfrm>
    </dsp:sp>
    <dsp:sp modelId="{68C30AB2-9431-4A87-A0DC-53540F8C8CEF}">
      <dsp:nvSpPr>
        <dsp:cNvPr id="0" name=""/>
        <dsp:cNvSpPr/>
      </dsp:nvSpPr>
      <dsp:spPr>
        <a:xfrm>
          <a:off x="960722" y="5788705"/>
          <a:ext cx="957913"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ctr" defTabSz="311150">
            <a:lnSpc>
              <a:spcPct val="90000"/>
            </a:lnSpc>
            <a:spcBef>
              <a:spcPct val="0"/>
            </a:spcBef>
            <a:spcAft>
              <a:spcPct val="35000"/>
            </a:spcAft>
            <a:buNone/>
          </a:pPr>
          <a:r>
            <a:rPr lang="en-NZ" sz="700" kern="1200"/>
            <a:t>Investing the NHF</a:t>
          </a:r>
        </a:p>
      </dsp:txBody>
      <dsp:txXfrm>
        <a:off x="960722" y="5788705"/>
        <a:ext cx="957913" cy="401151"/>
      </dsp:txXfrm>
    </dsp:sp>
    <dsp:sp modelId="{24A5D811-8AA4-42EE-A1C2-B9B81C8AA3A9}">
      <dsp:nvSpPr>
        <dsp:cNvPr id="0" name=""/>
        <dsp:cNvSpPr/>
      </dsp:nvSpPr>
      <dsp:spPr>
        <a:xfrm>
          <a:off x="1918636" y="5788705"/>
          <a:ext cx="957913"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ctr" defTabSz="311150">
            <a:lnSpc>
              <a:spcPct val="90000"/>
            </a:lnSpc>
            <a:spcBef>
              <a:spcPct val="0"/>
            </a:spcBef>
            <a:spcAft>
              <a:spcPct val="35000"/>
            </a:spcAft>
            <a:buNone/>
          </a:pPr>
          <a:r>
            <a:rPr lang="en-NZ" sz="700" kern="1200"/>
            <a:t>Collecting NHI levy income</a:t>
          </a:r>
        </a:p>
      </dsp:txBody>
      <dsp:txXfrm>
        <a:off x="1918636" y="5788705"/>
        <a:ext cx="957913" cy="401151"/>
      </dsp:txXfrm>
    </dsp:sp>
    <dsp:sp modelId="{3986D2AE-5B6C-44E3-AFE5-3C557977E2A1}">
      <dsp:nvSpPr>
        <dsp:cNvPr id="0" name=""/>
        <dsp:cNvSpPr/>
      </dsp:nvSpPr>
      <dsp:spPr>
        <a:xfrm>
          <a:off x="2876550" y="5788705"/>
          <a:ext cx="957913"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ctr" defTabSz="311150">
            <a:lnSpc>
              <a:spcPct val="90000"/>
            </a:lnSpc>
            <a:spcBef>
              <a:spcPct val="0"/>
            </a:spcBef>
            <a:spcAft>
              <a:spcPct val="35000"/>
            </a:spcAft>
            <a:buNone/>
          </a:pPr>
          <a:r>
            <a:rPr lang="en-NZ" sz="700" kern="1200"/>
            <a:t>Actuarial modelling of the financial risks to the NHI scheme</a:t>
          </a:r>
        </a:p>
      </dsp:txBody>
      <dsp:txXfrm>
        <a:off x="2876550" y="5788705"/>
        <a:ext cx="957913" cy="401151"/>
      </dsp:txXfrm>
    </dsp:sp>
    <dsp:sp modelId="{070E7549-FCC9-406A-8C38-8F098315E2BB}">
      <dsp:nvSpPr>
        <dsp:cNvPr id="0" name=""/>
        <dsp:cNvSpPr/>
      </dsp:nvSpPr>
      <dsp:spPr>
        <a:xfrm>
          <a:off x="3834463" y="5788705"/>
          <a:ext cx="957913"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ctr" defTabSz="311150">
            <a:lnSpc>
              <a:spcPct val="90000"/>
            </a:lnSpc>
            <a:spcBef>
              <a:spcPct val="0"/>
            </a:spcBef>
            <a:spcAft>
              <a:spcPct val="35000"/>
            </a:spcAft>
            <a:buNone/>
          </a:pPr>
          <a:r>
            <a:rPr lang="en-NZ" sz="700" kern="1200"/>
            <a:t>Working with the Treasury</a:t>
          </a:r>
        </a:p>
      </dsp:txBody>
      <dsp:txXfrm>
        <a:off x="3834463" y="5788705"/>
        <a:ext cx="957913" cy="401151"/>
      </dsp:txXfrm>
    </dsp:sp>
    <dsp:sp modelId="{A215441E-CBAB-4759-A2A9-F9A9C41E32BB}">
      <dsp:nvSpPr>
        <dsp:cNvPr id="0" name=""/>
        <dsp:cNvSpPr/>
      </dsp:nvSpPr>
      <dsp:spPr>
        <a:xfrm>
          <a:off x="4792377" y="5788705"/>
          <a:ext cx="957913"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ctr" defTabSz="311150">
            <a:lnSpc>
              <a:spcPct val="90000"/>
            </a:lnSpc>
            <a:spcBef>
              <a:spcPct val="0"/>
            </a:spcBef>
            <a:spcAft>
              <a:spcPct val="35000"/>
            </a:spcAft>
            <a:buNone/>
          </a:pPr>
          <a:r>
            <a:rPr lang="en-NZ" sz="700" kern="1200"/>
            <a:t>Partnering with key stakeholders</a:t>
          </a:r>
        </a:p>
      </dsp:txBody>
      <dsp:txXfrm>
        <a:off x="4792377" y="5788705"/>
        <a:ext cx="957913" cy="401151"/>
      </dsp:txXfrm>
    </dsp:sp>
    <dsp:sp modelId="{E7CD5897-CDDB-443F-ABE4-70F3975DFE0A}">
      <dsp:nvSpPr>
        <dsp:cNvPr id="0" name=""/>
        <dsp:cNvSpPr/>
      </dsp:nvSpPr>
      <dsp:spPr>
        <a:xfrm rot="10800000">
          <a:off x="0" y="3989231"/>
          <a:ext cx="5753100" cy="1341642"/>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NZ" sz="1600" kern="1200"/>
            <a:t>Goal of the Risk Financing Strategy </a:t>
          </a:r>
        </a:p>
      </dsp:txBody>
      <dsp:txXfrm rot="-10800000">
        <a:off x="0" y="3989231"/>
        <a:ext cx="5753100" cy="470916"/>
      </dsp:txXfrm>
    </dsp:sp>
    <dsp:sp modelId="{A61580D8-5D54-4A50-9B59-716831587F22}">
      <dsp:nvSpPr>
        <dsp:cNvPr id="0" name=""/>
        <dsp:cNvSpPr/>
      </dsp:nvSpPr>
      <dsp:spPr>
        <a:xfrm>
          <a:off x="0" y="4460147"/>
          <a:ext cx="5753100"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l" defTabSz="311150">
            <a:lnSpc>
              <a:spcPct val="90000"/>
            </a:lnSpc>
            <a:spcBef>
              <a:spcPct val="0"/>
            </a:spcBef>
            <a:spcAft>
              <a:spcPct val="35000"/>
            </a:spcAft>
            <a:buNone/>
          </a:pPr>
          <a:r>
            <a:rPr lang="en-NZ" sz="700" b="0" i="0" kern="1200"/>
            <a:t>Our goal is to ensure that we have:</a:t>
          </a:r>
        </a:p>
        <a:p>
          <a:pPr marL="0" lvl="0" indent="0" algn="l" defTabSz="311150">
            <a:lnSpc>
              <a:spcPct val="90000"/>
            </a:lnSpc>
            <a:spcBef>
              <a:spcPct val="0"/>
            </a:spcBef>
            <a:spcAft>
              <a:spcPct val="35000"/>
            </a:spcAft>
            <a:buNone/>
          </a:pPr>
          <a:r>
            <a:rPr lang="en-NZ" sz="700" b="0" i="0" kern="1200"/>
            <a:t>- a robust risk financing framework that builds the financial resilience of the NHI scheme through growing the NHF, and </a:t>
          </a:r>
        </a:p>
        <a:p>
          <a:pPr marL="0" lvl="0" indent="0" algn="l" defTabSz="311150">
            <a:lnSpc>
              <a:spcPct val="90000"/>
            </a:lnSpc>
            <a:spcBef>
              <a:spcPct val="0"/>
            </a:spcBef>
            <a:spcAft>
              <a:spcPct val="35000"/>
            </a:spcAft>
            <a:buNone/>
          </a:pPr>
          <a:r>
            <a:rPr lang="en-NZ" sz="700" b="0" i="0" kern="1200"/>
            <a:t>- the efficient transfer of risk to global capital markets through reinsurance and other risk management products.</a:t>
          </a:r>
          <a:endParaRPr lang="en-NZ" sz="700" b="0" kern="1200"/>
        </a:p>
      </dsp:txBody>
      <dsp:txXfrm>
        <a:off x="0" y="4460147"/>
        <a:ext cx="5753100" cy="401151"/>
      </dsp:txXfrm>
    </dsp:sp>
    <dsp:sp modelId="{2BF3F5AE-BD33-42A7-A7F4-6C6D14048D6A}">
      <dsp:nvSpPr>
        <dsp:cNvPr id="0" name=""/>
        <dsp:cNvSpPr/>
      </dsp:nvSpPr>
      <dsp:spPr>
        <a:xfrm rot="10800000">
          <a:off x="0" y="2650530"/>
          <a:ext cx="5753100" cy="1341642"/>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NZ" sz="1600" kern="1200"/>
            <a:t>Our Risk Financing Strategy</a:t>
          </a:r>
        </a:p>
      </dsp:txBody>
      <dsp:txXfrm rot="-10800000">
        <a:off x="0" y="2650530"/>
        <a:ext cx="5753100" cy="470916"/>
      </dsp:txXfrm>
    </dsp:sp>
    <dsp:sp modelId="{8A364CAB-1E89-44AD-A08D-1993D84E93FD}">
      <dsp:nvSpPr>
        <dsp:cNvPr id="0" name=""/>
        <dsp:cNvSpPr/>
      </dsp:nvSpPr>
      <dsp:spPr>
        <a:xfrm>
          <a:off x="0" y="3131590"/>
          <a:ext cx="5753100"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l" defTabSz="311150">
            <a:lnSpc>
              <a:spcPct val="90000"/>
            </a:lnSpc>
            <a:spcBef>
              <a:spcPct val="0"/>
            </a:spcBef>
            <a:spcAft>
              <a:spcPct val="35000"/>
            </a:spcAft>
            <a:buNone/>
          </a:pPr>
          <a:r>
            <a:rPr lang="en-NZ" sz="700" kern="1200"/>
            <a:t>To use our Risk Financing expertise to manage the fiscal risks of providing natural hazards insurance cover. </a:t>
          </a:r>
        </a:p>
        <a:p>
          <a:pPr marL="0" lvl="0" indent="0" algn="l" defTabSz="311150">
            <a:lnSpc>
              <a:spcPct val="90000"/>
            </a:lnSpc>
            <a:spcBef>
              <a:spcPct val="0"/>
            </a:spcBef>
            <a:spcAft>
              <a:spcPct val="35000"/>
            </a:spcAft>
            <a:buNone/>
          </a:pPr>
          <a:r>
            <a:rPr lang="en-NZ" sz="700" kern="1200"/>
            <a:t>Four levers of the risk financing strategy are the NHI levy, transfering financial risk, building the Natural Hazard Fund (NHF) and the Crown guarantee. </a:t>
          </a:r>
        </a:p>
      </dsp:txBody>
      <dsp:txXfrm>
        <a:off x="0" y="3131590"/>
        <a:ext cx="5753100" cy="401151"/>
      </dsp:txXfrm>
    </dsp:sp>
    <dsp:sp modelId="{5E2528C0-6A01-4F15-8E6C-25B6DE2DCE3C}">
      <dsp:nvSpPr>
        <dsp:cNvPr id="0" name=""/>
        <dsp:cNvSpPr/>
      </dsp:nvSpPr>
      <dsp:spPr>
        <a:xfrm rot="10800000">
          <a:off x="0" y="1332115"/>
          <a:ext cx="5753100" cy="1341642"/>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NZ" sz="1600" b="0" i="0" kern="1200"/>
            <a:t>Government’s Funding and Risk Management Statement (FRMS)</a:t>
          </a:r>
          <a:endParaRPr lang="en-NZ" sz="1600" kern="1200"/>
        </a:p>
      </dsp:txBody>
      <dsp:txXfrm rot="-10800000">
        <a:off x="0" y="1332115"/>
        <a:ext cx="5753100" cy="470916"/>
      </dsp:txXfrm>
    </dsp:sp>
    <dsp:sp modelId="{2F1424CD-CC00-4FC9-B581-BD6950F0D8A6}">
      <dsp:nvSpPr>
        <dsp:cNvPr id="0" name=""/>
        <dsp:cNvSpPr/>
      </dsp:nvSpPr>
      <dsp:spPr>
        <a:xfrm>
          <a:off x="0" y="1803032"/>
          <a:ext cx="5753100"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l" defTabSz="311150">
            <a:lnSpc>
              <a:spcPct val="90000"/>
            </a:lnSpc>
            <a:spcBef>
              <a:spcPct val="0"/>
            </a:spcBef>
            <a:spcAft>
              <a:spcPct val="35000"/>
            </a:spcAft>
            <a:buNone/>
          </a:pPr>
          <a:r>
            <a:rPr lang="en-NZ" sz="700" b="0" i="0" kern="1200"/>
            <a:t>The FRMS is a key part of the financial governance of the Natural Hazards Insurance scheme (NHI scheme) and sets out how the costs and risks of the NHI scheme are shared between the Crown and the NHI levy payers. The FRMS is issued by the Government in consultation with the Board.</a:t>
          </a:r>
          <a:endParaRPr lang="en-NZ" sz="700" kern="1200"/>
        </a:p>
      </dsp:txBody>
      <dsp:txXfrm>
        <a:off x="0" y="1803032"/>
        <a:ext cx="5753100" cy="401151"/>
      </dsp:txXfrm>
    </dsp:sp>
    <dsp:sp modelId="{69CAACFD-CBEA-4A9B-86ED-146CD18D9EF7}">
      <dsp:nvSpPr>
        <dsp:cNvPr id="0" name=""/>
        <dsp:cNvSpPr/>
      </dsp:nvSpPr>
      <dsp:spPr>
        <a:xfrm rot="10800000">
          <a:off x="0" y="2"/>
          <a:ext cx="5753100" cy="1341642"/>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NZ" sz="1600" kern="1200"/>
            <a:t>Natural Hazards Insurance Act 2023 (NHI Act)</a:t>
          </a:r>
        </a:p>
      </dsp:txBody>
      <dsp:txXfrm rot="-10800000">
        <a:off x="0" y="2"/>
        <a:ext cx="5753100" cy="470916"/>
      </dsp:txXfrm>
    </dsp:sp>
    <dsp:sp modelId="{1F855CBC-FAE5-4419-8518-5240BFCE31CD}">
      <dsp:nvSpPr>
        <dsp:cNvPr id="0" name=""/>
        <dsp:cNvSpPr/>
      </dsp:nvSpPr>
      <dsp:spPr>
        <a:xfrm>
          <a:off x="0" y="474474"/>
          <a:ext cx="5753100" cy="401151"/>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9784" tIns="8890" rIns="49784" bIns="8890" numCol="1" spcCol="1270" anchor="ctr" anchorCtr="0">
          <a:noAutofit/>
        </a:bodyPr>
        <a:lstStyle/>
        <a:p>
          <a:pPr marL="0" lvl="0" indent="0" algn="l" defTabSz="311150">
            <a:lnSpc>
              <a:spcPct val="90000"/>
            </a:lnSpc>
            <a:spcBef>
              <a:spcPct val="0"/>
            </a:spcBef>
            <a:spcAft>
              <a:spcPct val="35000"/>
            </a:spcAft>
            <a:buNone/>
          </a:pPr>
          <a:r>
            <a:rPr lang="en-NZ" sz="700" kern="1200"/>
            <a:t>Funding and Risk Management Statement is prepared in accordance with the provisions outlined in the NHI Act, issued under section 136. The Natural Hazards Commission Toka Tū Ake (NHC Toka Tū Ake) must give effect to this statement when executing the functions of the Commission under section 129(b) and (d) of the NHI Act.</a:t>
          </a:r>
        </a:p>
      </dsp:txBody>
      <dsp:txXfrm>
        <a:off x="0" y="474474"/>
        <a:ext cx="5753100" cy="40115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3E5026-59A4-478D-BBC2-0E368448D3AA}">
      <dsp:nvSpPr>
        <dsp:cNvPr id="0" name=""/>
        <dsp:cNvSpPr/>
      </dsp:nvSpPr>
      <dsp:spPr>
        <a:xfrm>
          <a:off x="1322" y="0"/>
          <a:ext cx="1297930" cy="2854517"/>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NZ" sz="1900" kern="1200"/>
            <a:t>RESILIENCE</a:t>
          </a:r>
        </a:p>
      </dsp:txBody>
      <dsp:txXfrm>
        <a:off x="1322" y="0"/>
        <a:ext cx="1297930" cy="856355"/>
      </dsp:txXfrm>
    </dsp:sp>
    <dsp:sp modelId="{362BEB09-CAC5-4219-A1D7-5F430CCB3208}">
      <dsp:nvSpPr>
        <dsp:cNvPr id="0" name=""/>
        <dsp:cNvSpPr/>
      </dsp:nvSpPr>
      <dsp:spPr>
        <a:xfrm>
          <a:off x="131115" y="856355"/>
          <a:ext cx="1038344" cy="185543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marL="0" lvl="0" indent="0" algn="ctr" defTabSz="400050">
            <a:lnSpc>
              <a:spcPct val="90000"/>
            </a:lnSpc>
            <a:spcBef>
              <a:spcPct val="0"/>
            </a:spcBef>
            <a:spcAft>
              <a:spcPct val="35000"/>
            </a:spcAft>
            <a:buNone/>
          </a:pPr>
          <a:r>
            <a:rPr lang="en-NZ" sz="900" kern="1200"/>
            <a:t>Strengthen RESILIENCE by building knowledge and understanding of natural hazard risks to improve decision-making</a:t>
          </a:r>
        </a:p>
      </dsp:txBody>
      <dsp:txXfrm>
        <a:off x="161527" y="886767"/>
        <a:ext cx="977520" cy="1794612"/>
      </dsp:txXfrm>
    </dsp:sp>
    <dsp:sp modelId="{AC2B49D8-961E-4825-82FE-0F15096EEF99}">
      <dsp:nvSpPr>
        <dsp:cNvPr id="0" name=""/>
        <dsp:cNvSpPr/>
      </dsp:nvSpPr>
      <dsp:spPr>
        <a:xfrm>
          <a:off x="1396597" y="0"/>
          <a:ext cx="1297930" cy="2854517"/>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NZ" sz="1900" kern="1200"/>
            <a:t>READINESS</a:t>
          </a:r>
        </a:p>
      </dsp:txBody>
      <dsp:txXfrm>
        <a:off x="1396597" y="0"/>
        <a:ext cx="1297930" cy="856355"/>
      </dsp:txXfrm>
    </dsp:sp>
    <dsp:sp modelId="{74E63576-6275-43E1-BFAD-5CF6D43024D5}">
      <dsp:nvSpPr>
        <dsp:cNvPr id="0" name=""/>
        <dsp:cNvSpPr/>
      </dsp:nvSpPr>
      <dsp:spPr>
        <a:xfrm>
          <a:off x="1526390" y="856355"/>
          <a:ext cx="1038344" cy="185543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marL="0" lvl="0" indent="0" algn="ctr" defTabSz="400050">
            <a:lnSpc>
              <a:spcPct val="90000"/>
            </a:lnSpc>
            <a:spcBef>
              <a:spcPct val="0"/>
            </a:spcBef>
            <a:spcAft>
              <a:spcPct val="35000"/>
            </a:spcAft>
            <a:buNone/>
          </a:pPr>
          <a:r>
            <a:rPr lang="en-NZ" sz="900" kern="1200"/>
            <a:t>Continuously enhance our READINESS for natural hazard events </a:t>
          </a:r>
        </a:p>
      </dsp:txBody>
      <dsp:txXfrm>
        <a:off x="1556802" y="886767"/>
        <a:ext cx="977520" cy="1794612"/>
      </dsp:txXfrm>
    </dsp:sp>
    <dsp:sp modelId="{6815B765-30FF-48D9-BB42-7E207169C837}">
      <dsp:nvSpPr>
        <dsp:cNvPr id="0" name=""/>
        <dsp:cNvSpPr/>
      </dsp:nvSpPr>
      <dsp:spPr>
        <a:xfrm>
          <a:off x="2791872" y="0"/>
          <a:ext cx="1297930" cy="2854517"/>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NZ" sz="1900" kern="1200"/>
            <a:t>RISK FINANCING</a:t>
          </a:r>
        </a:p>
      </dsp:txBody>
      <dsp:txXfrm>
        <a:off x="2791872" y="0"/>
        <a:ext cx="1297930" cy="856355"/>
      </dsp:txXfrm>
    </dsp:sp>
    <dsp:sp modelId="{6839DD92-CD5E-484D-8B93-437035E16304}">
      <dsp:nvSpPr>
        <dsp:cNvPr id="0" name=""/>
        <dsp:cNvSpPr/>
      </dsp:nvSpPr>
      <dsp:spPr>
        <a:xfrm>
          <a:off x="2921665" y="856355"/>
          <a:ext cx="1038344" cy="185543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marL="0" lvl="0" indent="0" algn="ctr" defTabSz="400050">
            <a:lnSpc>
              <a:spcPct val="90000"/>
            </a:lnSpc>
            <a:spcBef>
              <a:spcPct val="0"/>
            </a:spcBef>
            <a:spcAft>
              <a:spcPct val="35000"/>
            </a:spcAft>
            <a:buNone/>
          </a:pPr>
          <a:r>
            <a:rPr lang="en-NZ" sz="900" kern="1200"/>
            <a:t>Use our RISK FINANCING expertise to manage the fiscal risks of providing natural hazards insurance cover</a:t>
          </a:r>
        </a:p>
      </dsp:txBody>
      <dsp:txXfrm>
        <a:off x="2952077" y="886767"/>
        <a:ext cx="977520" cy="1794612"/>
      </dsp:txXfrm>
    </dsp:sp>
    <dsp:sp modelId="{9B1FE7B8-A07A-46A5-93FF-0B4B1047882A}">
      <dsp:nvSpPr>
        <dsp:cNvPr id="0" name=""/>
        <dsp:cNvSpPr/>
      </dsp:nvSpPr>
      <dsp:spPr>
        <a:xfrm>
          <a:off x="4187147" y="0"/>
          <a:ext cx="1297930" cy="2854517"/>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90000"/>
            </a:lnSpc>
            <a:spcBef>
              <a:spcPct val="0"/>
            </a:spcBef>
            <a:spcAft>
              <a:spcPct val="35000"/>
            </a:spcAft>
            <a:buNone/>
          </a:pPr>
          <a:r>
            <a:rPr lang="en-NZ" sz="1900" kern="1200"/>
            <a:t>RECOVERY</a:t>
          </a:r>
        </a:p>
      </dsp:txBody>
      <dsp:txXfrm>
        <a:off x="4187147" y="0"/>
        <a:ext cx="1297930" cy="856355"/>
      </dsp:txXfrm>
    </dsp:sp>
    <dsp:sp modelId="{68692399-9CDA-431A-8D37-8071F25C6976}">
      <dsp:nvSpPr>
        <dsp:cNvPr id="0" name=""/>
        <dsp:cNvSpPr/>
      </dsp:nvSpPr>
      <dsp:spPr>
        <a:xfrm>
          <a:off x="4316940" y="856355"/>
          <a:ext cx="1038344" cy="185543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7145" rIns="22860" bIns="17145" numCol="1" spcCol="1270" anchor="ctr" anchorCtr="0">
          <a:noAutofit/>
        </a:bodyPr>
        <a:lstStyle/>
        <a:p>
          <a:pPr marL="0" lvl="0" indent="0" algn="ctr" defTabSz="400050">
            <a:lnSpc>
              <a:spcPct val="90000"/>
            </a:lnSpc>
            <a:spcBef>
              <a:spcPct val="0"/>
            </a:spcBef>
            <a:spcAft>
              <a:spcPct val="35000"/>
            </a:spcAft>
            <a:buNone/>
          </a:pPr>
          <a:r>
            <a:rPr lang="en-NZ" sz="900" kern="1200"/>
            <a:t>Support homeowner and community RECOVERY by working with our partners to deliver a transparent, timely, high-quality and responsive process for natural hazards insurance claims</a:t>
          </a:r>
        </a:p>
      </dsp:txBody>
      <dsp:txXfrm>
        <a:off x="4347352" y="886767"/>
        <a:ext cx="977520" cy="179461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8420D7-EE2A-44B3-864E-2F03A152323B}">
      <dsp:nvSpPr>
        <dsp:cNvPr id="0" name=""/>
        <dsp:cNvSpPr/>
      </dsp:nvSpPr>
      <dsp:spPr>
        <a:xfrm>
          <a:off x="378142" y="0"/>
          <a:ext cx="4285615" cy="305435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567EB73-8ACC-4EE1-B0D4-2B099D8F1C57}">
      <dsp:nvSpPr>
        <dsp:cNvPr id="0" name=""/>
        <dsp:cNvSpPr/>
      </dsp:nvSpPr>
      <dsp:spPr>
        <a:xfrm>
          <a:off x="5416" y="916304"/>
          <a:ext cx="1622861" cy="12217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NZ" sz="700" b="1" kern="1200"/>
            <a:t>Priority</a:t>
          </a:r>
        </a:p>
        <a:p>
          <a:pPr marL="0" lvl="0" indent="0" algn="ctr" defTabSz="311150">
            <a:lnSpc>
              <a:spcPct val="90000"/>
            </a:lnSpc>
            <a:spcBef>
              <a:spcPct val="0"/>
            </a:spcBef>
            <a:spcAft>
              <a:spcPct val="35000"/>
            </a:spcAft>
            <a:buNone/>
          </a:pPr>
          <a:r>
            <a:rPr lang="en-NZ" sz="700" kern="1200"/>
            <a:t>To use our risk financing expertise to manage the fiscal risks of providing natural hazards insurance cover</a:t>
          </a:r>
        </a:p>
      </dsp:txBody>
      <dsp:txXfrm>
        <a:off x="65056" y="975944"/>
        <a:ext cx="1503581" cy="1102460"/>
      </dsp:txXfrm>
    </dsp:sp>
    <dsp:sp modelId="{F21ABF30-A6B5-47D5-876A-A928914FD1D6}">
      <dsp:nvSpPr>
        <dsp:cNvPr id="0" name=""/>
        <dsp:cNvSpPr/>
      </dsp:nvSpPr>
      <dsp:spPr>
        <a:xfrm>
          <a:off x="1709519" y="916304"/>
          <a:ext cx="1622861" cy="12217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NZ" sz="700" b="1" kern="1200"/>
            <a:t>Goal</a:t>
          </a:r>
        </a:p>
        <a:p>
          <a:pPr marL="0" lvl="0" indent="0" algn="ctr" defTabSz="311150">
            <a:lnSpc>
              <a:spcPct val="90000"/>
            </a:lnSpc>
            <a:spcBef>
              <a:spcPct val="0"/>
            </a:spcBef>
            <a:spcAft>
              <a:spcPct val="35000"/>
            </a:spcAft>
            <a:buNone/>
          </a:pPr>
          <a:r>
            <a:rPr lang="en-NZ" sz="700" kern="1200"/>
            <a:t>To ensure we have:</a:t>
          </a:r>
        </a:p>
        <a:p>
          <a:pPr marL="0" lvl="0" indent="0" algn="ctr" defTabSz="311150">
            <a:lnSpc>
              <a:spcPct val="90000"/>
            </a:lnSpc>
            <a:spcBef>
              <a:spcPct val="0"/>
            </a:spcBef>
            <a:spcAft>
              <a:spcPct val="35000"/>
            </a:spcAft>
            <a:buNone/>
          </a:pPr>
          <a:r>
            <a:rPr lang="en-NZ" sz="700" kern="1200"/>
            <a:t>- a robust risk financing framework that builds the financial resilience of the NHI scheme through growing the NHF, and</a:t>
          </a:r>
        </a:p>
        <a:p>
          <a:pPr marL="0" lvl="0" indent="0" algn="ctr" defTabSz="311150">
            <a:lnSpc>
              <a:spcPct val="90000"/>
            </a:lnSpc>
            <a:spcBef>
              <a:spcPct val="0"/>
            </a:spcBef>
            <a:spcAft>
              <a:spcPct val="35000"/>
            </a:spcAft>
            <a:buNone/>
          </a:pPr>
          <a:r>
            <a:rPr lang="en-NZ" sz="700" kern="1200"/>
            <a:t>- the efficient transfer of risk to global capital markets through reinsurance and other risk management products</a:t>
          </a:r>
        </a:p>
      </dsp:txBody>
      <dsp:txXfrm>
        <a:off x="1769159" y="975944"/>
        <a:ext cx="1503581" cy="1102460"/>
      </dsp:txXfrm>
    </dsp:sp>
    <dsp:sp modelId="{4703A41E-402E-4F70-8A2F-2367E7E31B01}">
      <dsp:nvSpPr>
        <dsp:cNvPr id="0" name=""/>
        <dsp:cNvSpPr/>
      </dsp:nvSpPr>
      <dsp:spPr>
        <a:xfrm>
          <a:off x="3413622" y="916304"/>
          <a:ext cx="1622861" cy="122174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NZ" sz="700" b="1" kern="1200"/>
            <a:t>Outcome</a:t>
          </a:r>
        </a:p>
        <a:p>
          <a:pPr marL="0" lvl="0" indent="0" algn="ctr" defTabSz="311150">
            <a:lnSpc>
              <a:spcPct val="90000"/>
            </a:lnSpc>
            <a:spcBef>
              <a:spcPct val="0"/>
            </a:spcBef>
            <a:spcAft>
              <a:spcPct val="35000"/>
            </a:spcAft>
            <a:buNone/>
          </a:pPr>
          <a:r>
            <a:rPr lang="en-NZ" sz="700" kern="1200"/>
            <a:t>Homeowners have an accessible, sustainable way to help manage financial impacts of natural hazard events</a:t>
          </a:r>
        </a:p>
      </dsp:txBody>
      <dsp:txXfrm>
        <a:off x="3473262" y="975944"/>
        <a:ext cx="1503581" cy="110246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8A1829-957B-4430-B8DA-90EB7B67BC3E}">
      <dsp:nvSpPr>
        <dsp:cNvPr id="0" name=""/>
        <dsp:cNvSpPr/>
      </dsp:nvSpPr>
      <dsp:spPr>
        <a:xfrm>
          <a:off x="3491296" y="2949687"/>
          <a:ext cx="2139826" cy="138612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endParaRPr lang="en-NZ" sz="1100" kern="1200"/>
        </a:p>
        <a:p>
          <a:pPr marL="57150" lvl="1" indent="-57150" algn="l" defTabSz="488950">
            <a:lnSpc>
              <a:spcPct val="90000"/>
            </a:lnSpc>
            <a:spcBef>
              <a:spcPct val="0"/>
            </a:spcBef>
            <a:spcAft>
              <a:spcPct val="15000"/>
            </a:spcAft>
            <a:buChar char="•"/>
          </a:pPr>
          <a:r>
            <a:rPr lang="en-NZ" sz="1100" kern="1200"/>
            <a:t>Balance between growing the NHF and obtaining sufficient risk transfer coverage</a:t>
          </a:r>
        </a:p>
      </dsp:txBody>
      <dsp:txXfrm>
        <a:off x="4163693" y="3326667"/>
        <a:ext cx="1436980" cy="978693"/>
      </dsp:txXfrm>
    </dsp:sp>
    <dsp:sp modelId="{02682B38-7284-4F7B-A057-27C1A4247CD5}">
      <dsp:nvSpPr>
        <dsp:cNvPr id="0" name=""/>
        <dsp:cNvSpPr/>
      </dsp:nvSpPr>
      <dsp:spPr>
        <a:xfrm>
          <a:off x="0" y="2953865"/>
          <a:ext cx="2139826" cy="138612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r>
            <a:rPr lang="en-NZ" sz="1100" kern="1200"/>
            <a:t>Government meets any deficiency in the NHF to ensure claims can be paid</a:t>
          </a:r>
        </a:p>
      </dsp:txBody>
      <dsp:txXfrm>
        <a:off x="30449" y="3330845"/>
        <a:ext cx="1436980" cy="978693"/>
      </dsp:txXfrm>
    </dsp:sp>
    <dsp:sp modelId="{FADBD7F1-4C3E-496A-A878-DB665D35D773}">
      <dsp:nvSpPr>
        <dsp:cNvPr id="0" name=""/>
        <dsp:cNvSpPr/>
      </dsp:nvSpPr>
      <dsp:spPr>
        <a:xfrm>
          <a:off x="3491296" y="4177"/>
          <a:ext cx="2139826" cy="138612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r>
            <a:rPr lang="en-NZ" sz="1100" kern="1200"/>
            <a:t>Coverage of all natural hazards, cost of cover, credit worthiness of partners, diversity of capital sources</a:t>
          </a:r>
        </a:p>
      </dsp:txBody>
      <dsp:txXfrm>
        <a:off x="4163693" y="34626"/>
        <a:ext cx="1436980" cy="978693"/>
      </dsp:txXfrm>
    </dsp:sp>
    <dsp:sp modelId="{0124E344-78E7-43DE-A331-6E93FBB682D1}">
      <dsp:nvSpPr>
        <dsp:cNvPr id="0" name=""/>
        <dsp:cNvSpPr/>
      </dsp:nvSpPr>
      <dsp:spPr>
        <a:xfrm>
          <a:off x="0" y="4177"/>
          <a:ext cx="2139826" cy="138612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r>
            <a:rPr lang="en-NZ" sz="1100" kern="1200"/>
            <a:t>We and our stakeholders understand the long-term financial costs and break-even NHI levy for the NHI scheme</a:t>
          </a:r>
        </a:p>
      </dsp:txBody>
      <dsp:txXfrm>
        <a:off x="30449" y="34626"/>
        <a:ext cx="1436980" cy="978693"/>
      </dsp:txXfrm>
    </dsp:sp>
    <dsp:sp modelId="{2B379C41-699B-4152-8E67-9596D5AD96F1}">
      <dsp:nvSpPr>
        <dsp:cNvPr id="0" name=""/>
        <dsp:cNvSpPr/>
      </dsp:nvSpPr>
      <dsp:spPr>
        <a:xfrm>
          <a:off x="896648" y="251080"/>
          <a:ext cx="1875597" cy="1875597"/>
        </a:xfrm>
        <a:prstGeom prst="pieWedg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5128" tIns="135128" rIns="135128" bIns="135128" numCol="1" spcCol="1270" anchor="ctr" anchorCtr="0">
          <a:noAutofit/>
        </a:bodyPr>
        <a:lstStyle/>
        <a:p>
          <a:pPr marL="0" lvl="0" indent="0" algn="ctr" defTabSz="844550">
            <a:lnSpc>
              <a:spcPct val="90000"/>
            </a:lnSpc>
            <a:spcBef>
              <a:spcPct val="0"/>
            </a:spcBef>
            <a:spcAft>
              <a:spcPct val="35000"/>
            </a:spcAft>
            <a:buNone/>
          </a:pPr>
          <a:r>
            <a:rPr lang="en-NZ" sz="1900" kern="1200"/>
            <a:t>NHI levy</a:t>
          </a:r>
        </a:p>
      </dsp:txBody>
      <dsp:txXfrm>
        <a:off x="1445998" y="800430"/>
        <a:ext cx="1326247" cy="1326247"/>
      </dsp:txXfrm>
    </dsp:sp>
    <dsp:sp modelId="{B7891C74-C12E-4A89-818B-62CFE6A63C58}">
      <dsp:nvSpPr>
        <dsp:cNvPr id="0" name=""/>
        <dsp:cNvSpPr/>
      </dsp:nvSpPr>
      <dsp:spPr>
        <a:xfrm rot="5400000">
          <a:off x="2858877" y="251080"/>
          <a:ext cx="1875597" cy="1875597"/>
        </a:xfrm>
        <a:prstGeom prst="pieWedge">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5128" tIns="135128" rIns="135128" bIns="135128" numCol="1" spcCol="1270" anchor="ctr" anchorCtr="0">
          <a:noAutofit/>
        </a:bodyPr>
        <a:lstStyle/>
        <a:p>
          <a:pPr marL="0" lvl="0" indent="0" algn="ctr" defTabSz="844550">
            <a:lnSpc>
              <a:spcPct val="90000"/>
            </a:lnSpc>
            <a:spcBef>
              <a:spcPct val="0"/>
            </a:spcBef>
            <a:spcAft>
              <a:spcPct val="35000"/>
            </a:spcAft>
            <a:buNone/>
          </a:pPr>
          <a:r>
            <a:rPr lang="en-NZ" sz="1900" kern="1200"/>
            <a:t>Risk transfer</a:t>
          </a:r>
        </a:p>
      </dsp:txBody>
      <dsp:txXfrm rot="-5400000">
        <a:off x="2858877" y="800430"/>
        <a:ext cx="1326247" cy="1326247"/>
      </dsp:txXfrm>
    </dsp:sp>
    <dsp:sp modelId="{6F5089E4-AEA1-43F4-B7A6-043440744255}">
      <dsp:nvSpPr>
        <dsp:cNvPr id="0" name=""/>
        <dsp:cNvSpPr/>
      </dsp:nvSpPr>
      <dsp:spPr>
        <a:xfrm rot="10800000">
          <a:off x="2858877" y="2213310"/>
          <a:ext cx="1875597" cy="1875597"/>
        </a:xfrm>
        <a:prstGeom prst="pieWedge">
          <a:avLst/>
        </a:prstGeom>
        <a:solidFill>
          <a:schemeClr val="accent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5128" tIns="135128" rIns="135128" bIns="135128" numCol="1" spcCol="1270" anchor="ctr" anchorCtr="0">
          <a:noAutofit/>
        </a:bodyPr>
        <a:lstStyle/>
        <a:p>
          <a:pPr marL="0" lvl="0" indent="0" algn="ctr" defTabSz="844550">
            <a:lnSpc>
              <a:spcPct val="90000"/>
            </a:lnSpc>
            <a:spcBef>
              <a:spcPct val="0"/>
            </a:spcBef>
            <a:spcAft>
              <a:spcPct val="35000"/>
            </a:spcAft>
            <a:buNone/>
          </a:pPr>
          <a:r>
            <a:rPr lang="en-NZ" sz="1900" kern="1200"/>
            <a:t>Natural Hazard Fund</a:t>
          </a:r>
        </a:p>
      </dsp:txBody>
      <dsp:txXfrm rot="10800000">
        <a:off x="2858877" y="2213310"/>
        <a:ext cx="1326247" cy="1326247"/>
      </dsp:txXfrm>
    </dsp:sp>
    <dsp:sp modelId="{CAB46E63-B5E8-49A1-9D24-29D1BD29837D}">
      <dsp:nvSpPr>
        <dsp:cNvPr id="0" name=""/>
        <dsp:cNvSpPr/>
      </dsp:nvSpPr>
      <dsp:spPr>
        <a:xfrm rot="16200000">
          <a:off x="896648" y="2213310"/>
          <a:ext cx="1875597" cy="1875597"/>
        </a:xfrm>
        <a:prstGeom prst="pieWedge">
          <a:avLst/>
        </a:prstGeom>
        <a:solidFill>
          <a:schemeClr val="accent4"/>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5128" tIns="135128" rIns="135128" bIns="135128" numCol="1" spcCol="1270" anchor="ctr" anchorCtr="0">
          <a:noAutofit/>
        </a:bodyPr>
        <a:lstStyle/>
        <a:p>
          <a:pPr marL="0" lvl="0" indent="0" algn="ctr" defTabSz="844550">
            <a:lnSpc>
              <a:spcPct val="90000"/>
            </a:lnSpc>
            <a:spcBef>
              <a:spcPct val="0"/>
            </a:spcBef>
            <a:spcAft>
              <a:spcPct val="35000"/>
            </a:spcAft>
            <a:buNone/>
          </a:pPr>
          <a:r>
            <a:rPr lang="en-NZ" sz="1900" kern="1200"/>
            <a:t>Crown guarantee</a:t>
          </a:r>
        </a:p>
      </dsp:txBody>
      <dsp:txXfrm rot="5400000">
        <a:off x="1445998" y="2213310"/>
        <a:ext cx="1326247" cy="1326247"/>
      </dsp:txXfrm>
    </dsp:sp>
    <dsp:sp modelId="{7841B843-255F-443F-9015-DDDB028CEB11}">
      <dsp:nvSpPr>
        <dsp:cNvPr id="0" name=""/>
        <dsp:cNvSpPr/>
      </dsp:nvSpPr>
      <dsp:spPr>
        <a:xfrm>
          <a:off x="2491771" y="1780147"/>
          <a:ext cx="647579" cy="563112"/>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C88878E-A1EA-4D5F-BBFC-5E476DB41E1C}">
      <dsp:nvSpPr>
        <dsp:cNvPr id="0" name=""/>
        <dsp:cNvSpPr/>
      </dsp:nvSpPr>
      <dsp:spPr>
        <a:xfrm rot="10800000">
          <a:off x="2491771" y="1996728"/>
          <a:ext cx="647579" cy="563112"/>
        </a:xfrm>
        <a:prstGeom prst="circular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E3DDE8-5B9F-4EB3-A17F-BD12695DDD0E}">
      <dsp:nvSpPr>
        <dsp:cNvPr id="0" name=""/>
        <dsp:cNvSpPr/>
      </dsp:nvSpPr>
      <dsp:spPr>
        <a:xfrm rot="5400000">
          <a:off x="-301339" y="304109"/>
          <a:ext cx="2008931" cy="140625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NZ" sz="1600" kern="1200"/>
            <a:t>Short term (next 12 months)</a:t>
          </a:r>
        </a:p>
      </dsp:txBody>
      <dsp:txXfrm rot="-5400000">
        <a:off x="1" y="705895"/>
        <a:ext cx="1406252" cy="602679"/>
      </dsp:txXfrm>
    </dsp:sp>
    <dsp:sp modelId="{4D9AE519-61F2-4BAF-AA71-830CBB3D152C}">
      <dsp:nvSpPr>
        <dsp:cNvPr id="0" name=""/>
        <dsp:cNvSpPr/>
      </dsp:nvSpPr>
      <dsp:spPr>
        <a:xfrm rot="5400000">
          <a:off x="2901373" y="-1492351"/>
          <a:ext cx="1305805" cy="4296047"/>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NZ" sz="1050" kern="1200"/>
            <a:t>Go to market for our reinsurance broking services contract</a:t>
          </a:r>
        </a:p>
        <a:p>
          <a:pPr marL="57150" lvl="1" indent="-57150" algn="l" defTabSz="466725">
            <a:lnSpc>
              <a:spcPct val="90000"/>
            </a:lnSpc>
            <a:spcBef>
              <a:spcPct val="0"/>
            </a:spcBef>
            <a:spcAft>
              <a:spcPct val="15000"/>
            </a:spcAft>
            <a:buChar char="•"/>
          </a:pPr>
          <a:r>
            <a:rPr lang="en-NZ" sz="1050" kern="1200"/>
            <a:t>Develop the policies and operating structure outlined in the Statement of Investment Policy and Objectives (SIPO)</a:t>
          </a:r>
        </a:p>
        <a:p>
          <a:pPr marL="57150" lvl="1" indent="-57150" algn="l" defTabSz="466725">
            <a:lnSpc>
              <a:spcPct val="90000"/>
            </a:lnSpc>
            <a:spcBef>
              <a:spcPct val="0"/>
            </a:spcBef>
            <a:spcAft>
              <a:spcPct val="15000"/>
            </a:spcAft>
            <a:buChar char="•"/>
          </a:pPr>
          <a:r>
            <a:rPr lang="en-NZ" sz="1050" kern="1200"/>
            <a:t>Develop and embed the Reinsurance Management Statement </a:t>
          </a:r>
        </a:p>
        <a:p>
          <a:pPr marL="57150" lvl="1" indent="-57150" algn="l" defTabSz="466725">
            <a:lnSpc>
              <a:spcPct val="90000"/>
            </a:lnSpc>
            <a:spcBef>
              <a:spcPct val="0"/>
            </a:spcBef>
            <a:spcAft>
              <a:spcPct val="15000"/>
            </a:spcAft>
            <a:buChar char="•"/>
          </a:pPr>
          <a:endParaRPr lang="en-NZ" sz="1050" kern="1200"/>
        </a:p>
      </dsp:txBody>
      <dsp:txXfrm rot="-5400000">
        <a:off x="1406252" y="66514"/>
        <a:ext cx="4232303" cy="1178317"/>
      </dsp:txXfrm>
    </dsp:sp>
    <dsp:sp modelId="{203E1D0E-76D1-4C5F-B72F-6C4AF2B8CFBD}">
      <dsp:nvSpPr>
        <dsp:cNvPr id="0" name=""/>
        <dsp:cNvSpPr/>
      </dsp:nvSpPr>
      <dsp:spPr>
        <a:xfrm rot="5400000">
          <a:off x="-301339" y="2122623"/>
          <a:ext cx="2008931" cy="140625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NZ" sz="1600" kern="1200"/>
            <a:t>Medium term</a:t>
          </a:r>
        </a:p>
        <a:p>
          <a:pPr marL="0" lvl="0" indent="0" algn="ctr" defTabSz="711200">
            <a:lnSpc>
              <a:spcPct val="90000"/>
            </a:lnSpc>
            <a:spcBef>
              <a:spcPct val="0"/>
            </a:spcBef>
            <a:spcAft>
              <a:spcPct val="35000"/>
            </a:spcAft>
            <a:buNone/>
          </a:pPr>
          <a:r>
            <a:rPr lang="en-NZ" sz="1600" kern="1200"/>
            <a:t>1 - 3 years</a:t>
          </a:r>
        </a:p>
      </dsp:txBody>
      <dsp:txXfrm rot="-5400000">
        <a:off x="1" y="2524409"/>
        <a:ext cx="1406252" cy="602679"/>
      </dsp:txXfrm>
    </dsp:sp>
    <dsp:sp modelId="{A0A1CDA9-FD46-4789-AA80-7C2E224D8965}">
      <dsp:nvSpPr>
        <dsp:cNvPr id="0" name=""/>
        <dsp:cNvSpPr/>
      </dsp:nvSpPr>
      <dsp:spPr>
        <a:xfrm rot="5400000">
          <a:off x="2901373" y="326163"/>
          <a:ext cx="1305805" cy="4296047"/>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NZ" sz="1050" kern="1200"/>
            <a:t>Enhance assurance on NHI levy amounts to ensure that what we receive from insurers/brokers </a:t>
          </a:r>
          <a:r>
            <a:rPr lang="en-NZ" sz="1050" b="0" i="0" kern="1200"/>
            <a:t>is</a:t>
          </a:r>
          <a:r>
            <a:rPr lang="en-NZ" sz="1050" kern="1200"/>
            <a:t> accurate</a:t>
          </a:r>
        </a:p>
        <a:p>
          <a:pPr marL="57150" lvl="1" indent="-57150" algn="l" defTabSz="466725">
            <a:lnSpc>
              <a:spcPct val="90000"/>
            </a:lnSpc>
            <a:spcBef>
              <a:spcPct val="0"/>
            </a:spcBef>
            <a:spcAft>
              <a:spcPct val="15000"/>
            </a:spcAft>
            <a:buChar char="•"/>
          </a:pPr>
          <a:r>
            <a:rPr lang="en-NZ" sz="1050" kern="1200"/>
            <a:t>Develop our understanding with the Treasury on the Crown’s preference for how the Crown Guarantee could be provided</a:t>
          </a:r>
        </a:p>
        <a:p>
          <a:pPr marL="57150" lvl="1" indent="-57150" algn="l" defTabSz="466725">
            <a:lnSpc>
              <a:spcPct val="90000"/>
            </a:lnSpc>
            <a:spcBef>
              <a:spcPct val="0"/>
            </a:spcBef>
            <a:spcAft>
              <a:spcPct val="15000"/>
            </a:spcAft>
            <a:buChar char="•"/>
          </a:pPr>
          <a:r>
            <a:rPr lang="en-NZ" sz="1050" kern="1200"/>
            <a:t>Embed the successful reinsurance broking services tenderer/s</a:t>
          </a:r>
        </a:p>
        <a:p>
          <a:pPr marL="57150" lvl="1" indent="-57150" algn="l" defTabSz="466725">
            <a:lnSpc>
              <a:spcPct val="90000"/>
            </a:lnSpc>
            <a:spcBef>
              <a:spcPct val="0"/>
            </a:spcBef>
            <a:spcAft>
              <a:spcPct val="15000"/>
            </a:spcAft>
            <a:buChar char="•"/>
          </a:pPr>
          <a:r>
            <a:rPr lang="en-NZ" sz="1050" kern="1200"/>
            <a:t>Complete the implementation of the SIPO, including the investment and diversification of the assets held in the NHF</a:t>
          </a:r>
        </a:p>
      </dsp:txBody>
      <dsp:txXfrm rot="-5400000">
        <a:off x="1406252" y="1885028"/>
        <a:ext cx="4232303" cy="1178317"/>
      </dsp:txXfrm>
    </dsp:sp>
    <dsp:sp modelId="{19CBE68E-FDCD-4968-BB2B-78450C6ACCB4}">
      <dsp:nvSpPr>
        <dsp:cNvPr id="0" name=""/>
        <dsp:cNvSpPr/>
      </dsp:nvSpPr>
      <dsp:spPr>
        <a:xfrm rot="5400000">
          <a:off x="-301339" y="3941138"/>
          <a:ext cx="2008931" cy="1406252"/>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NZ" sz="1600" kern="1200"/>
            <a:t>Long term</a:t>
          </a:r>
        </a:p>
        <a:p>
          <a:pPr marL="0" lvl="0" indent="0" algn="ctr" defTabSz="711200">
            <a:lnSpc>
              <a:spcPct val="90000"/>
            </a:lnSpc>
            <a:spcBef>
              <a:spcPct val="0"/>
            </a:spcBef>
            <a:spcAft>
              <a:spcPct val="35000"/>
            </a:spcAft>
            <a:buNone/>
          </a:pPr>
          <a:r>
            <a:rPr lang="en-NZ" sz="1600" kern="1200"/>
            <a:t>3 - 5 years</a:t>
          </a:r>
        </a:p>
      </dsp:txBody>
      <dsp:txXfrm rot="-5400000">
        <a:off x="1" y="4342924"/>
        <a:ext cx="1406252" cy="602679"/>
      </dsp:txXfrm>
    </dsp:sp>
    <dsp:sp modelId="{45A20E11-F9D2-484A-8331-B712A4F4F11E}">
      <dsp:nvSpPr>
        <dsp:cNvPr id="0" name=""/>
        <dsp:cNvSpPr/>
      </dsp:nvSpPr>
      <dsp:spPr>
        <a:xfrm rot="5400000">
          <a:off x="2901373" y="2144677"/>
          <a:ext cx="1305805" cy="4296047"/>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endParaRPr lang="en-NZ" sz="1050" kern="1200">
            <a:highlight>
              <a:srgbClr val="FFFF00"/>
            </a:highlight>
          </a:endParaRPr>
        </a:p>
        <a:p>
          <a:pPr marL="57150" lvl="1" indent="-57150" algn="l" defTabSz="466725">
            <a:lnSpc>
              <a:spcPct val="90000"/>
            </a:lnSpc>
            <a:spcBef>
              <a:spcPct val="0"/>
            </a:spcBef>
            <a:spcAft>
              <a:spcPct val="15000"/>
            </a:spcAft>
            <a:buChar char="•"/>
          </a:pPr>
          <a:r>
            <a:rPr lang="en-NZ" sz="1050" kern="1200"/>
            <a:t>Prepare for the review of the Funding and Risk Management Statement for the period covering 1 July 2029 to 30 June 2034</a:t>
          </a:r>
        </a:p>
      </dsp:txBody>
      <dsp:txXfrm rot="-5400000">
        <a:off x="1406252" y="3703542"/>
        <a:ext cx="4232303" cy="117831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5.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Toka Tū Ake 2024">
      <a:dk1>
        <a:srgbClr val="000000"/>
      </a:dk1>
      <a:lt1>
        <a:srgbClr val="FFFFFF"/>
      </a:lt1>
      <a:dk2>
        <a:srgbClr val="000000"/>
      </a:dk2>
      <a:lt2>
        <a:srgbClr val="FFFFFF"/>
      </a:lt2>
      <a:accent1>
        <a:srgbClr val="052A4D"/>
      </a:accent1>
      <a:accent2>
        <a:srgbClr val="08A2C6"/>
      </a:accent2>
      <a:accent3>
        <a:srgbClr val="00B16A"/>
      </a:accent3>
      <a:accent4>
        <a:srgbClr val="04CDBE"/>
      </a:accent4>
      <a:accent5>
        <a:srgbClr val="EA5939"/>
      </a:accent5>
      <a:accent6>
        <a:srgbClr val="005B54"/>
      </a:accent6>
      <a:hlink>
        <a:srgbClr val="0000FF"/>
      </a:hlink>
      <a:folHlink>
        <a:srgbClr val="052A4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Our Risk Financing Strategy sets out how we fund the financial risks of the Natural Hazards Insurance scheme.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Pas20</b:Tag>
    <b:SourceType>JournalArticle</b:SourceType>
    <b:Guid>{D5B6BBDE-3E0D-4B19-8621-8B300EB59BDD}</b:Guid>
    <b:Title>Projecting the effect of climate change on residential property damages caused by extreme weather events</b:Title>
    <b:Year>2020</b:Year>
    <b:Publisher>Journal of Environmental Management</b:Publisher>
    <b:Author>
      <b:Author>
        <b:NameList>
          <b:Person>
            <b:Last>Pastor-Paz</b:Last>
            <b:First>Jacob</b:First>
          </b:Person>
          <b:Person>
            <b:Last>Noy</b:Last>
            <b:First>Ilan</b:First>
          </b:Person>
          <b:Person>
            <b:Last>Sin</b:Last>
            <b:First>Isabelle </b:First>
          </b:Person>
          <b:Person>
            <b:Last>Sood</b:Last>
            <b:First>Abha</b:First>
          </b:Person>
          <b:Person>
            <b:Last>Fleming-Munoz</b:Last>
            <b:First>David</b:First>
          </b:Person>
          <b:Person>
            <b:Last>Owen</b:Last>
            <b:First>Sally</b:First>
          </b:Person>
        </b:NameList>
      </b:Author>
    </b:Author>
    <b:JournalName>Journal of Environmental Management</b:JournalName>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7f2ea15-2457-45ae-b05a-69f932904f88">BORD-1016461575-7743</_dlc_DocId>
    <_dlc_DocIdUrl xmlns="77f2ea15-2457-45ae-b05a-69f932904f88">
      <Url>https://eqcnz.sharepoint.com/sites/DMSBoard/_layouts/15/DocIdRedir.aspx?ID=BORD-1016461575-7743</Url>
      <Description>BORD-1016461575-7743</Description>
    </_dlc_DocIdUrl>
    <SharedWithUsers xmlns="77f2ea15-2457-45ae-b05a-69f932904f88">
      <UserInfo>
        <DisplayName/>
        <AccountId xsi:nil="true"/>
        <AccountType/>
      </UserInfo>
    </SharedWithUsers>
    <_dlc_DocIdPersistId xmlns="77f2ea15-2457-45ae-b05a-69f932904f88" xsi:nil="true"/>
    <AggregationStatus xmlns="6ffc27c9-43cd-4736-a5d6-c0484359aef4">Normal</AggregationStatus>
    <_ip_UnifiedCompliancePolicyUIAction xmlns="http://schemas.microsoft.com/sharepoint/v3" xsi:nil="true"/>
    <DataClassification xmlns="66704092-311d-4623-8c81-e111139b239e">EQC USE ONLY – IN-CONFIDENCE</DataClassification>
    <PRAText2 xmlns="6ffc27c9-43cd-4736-a5d6-c0484359aef4" xsi:nil="true"/>
    <Function xmlns="66704092-311d-4623-8c81-e111139b239e">Governance</Function>
    <Activity xmlns="66704092-311d-4623-8c81-e111139b239e">EQC Board</Activity>
    <PRAText3 xmlns="6ffc27c9-43cd-4736-a5d6-c0484359aef4" xsi:nil="true"/>
    <Year xmlns="6ffc27c9-43cd-4736-a5d6-c0484359aef4">NA</Year>
    <DocumentType xmlns="66704092-311d-4623-8c81-e111139b239e" xsi:nil="true"/>
    <PRAType xmlns="6ffc27c9-43cd-4736-a5d6-c0484359aef4" xsi:nil="true"/>
    <_ip_UnifiedCompliancePolicyProperties xmlns="http://schemas.microsoft.com/sharepoint/v3" xsi:nil="true"/>
    <PRAText4 xmlns="6ffc27c9-43cd-4736-a5d6-c0484359aef4" xsi:nil="true"/>
    <PRADateDisposal xmlns="6ffc27c9-43cd-4736-a5d6-c0484359aef4" xsi:nil="true"/>
    <Case xmlns="66704092-311d-4623-8c81-e111139b239e">NA</Case>
    <Narrative xmlns="66704092-311d-4623-8c81-e111139b239e" xsi:nil="true"/>
    <CategoryName xmlns="66704092-311d-4623-8c81-e111139b239e" xsi:nil="true"/>
    <CategoryValue xmlns="66704092-311d-4623-8c81-e111139b239e">NA</CategoryValue>
    <Project xmlns="66704092-311d-4623-8c81-e111139b239e">NA</Project>
    <PRAText5 xmlns="6ffc27c9-43cd-4736-a5d6-c0484359aef4" xsi:nil="true"/>
    <AggregationNarrative xmlns="6ffc27c9-43cd-4736-a5d6-c0484359aef4" xsi:nil="true"/>
    <PRAText1 xmlns="6ffc27c9-43cd-4736-a5d6-c0484359aef4" xsi:nil="true"/>
    <Subactivity xmlns="66704092-311d-4623-8c81-e111139b239e">Board Meetings</Subactivity>
    <lcf76f155ced4ddcb4097134ff3c332f xmlns="4ff9b732-390f-4a78-b6b9-d58c022c2965">
      <Terms xmlns="http://schemas.microsoft.com/office/infopath/2007/PartnerControls"/>
    </lcf76f155ced4ddcb4097134ff3c332f>
    <TaxCatchAll xmlns="77f2ea15-2457-45ae-b05a-69f932904f88"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eDocument" ma:contentTypeID="0x010100E490254A92272C46BFA8F484B950E88700AA2E5DA1A327774A9BFD1D557AAC5127" ma:contentTypeVersion="45" ma:contentTypeDescription="Create a new document." ma:contentTypeScope="" ma:versionID="304272fefe34457999cbff77143d7795">
  <xsd:schema xmlns:xsd="http://www.w3.org/2001/XMLSchema" xmlns:xs="http://www.w3.org/2001/XMLSchema" xmlns:p="http://schemas.microsoft.com/office/2006/metadata/properties" xmlns:ns1="http://schemas.microsoft.com/sharepoint/v3" xmlns:ns2="66704092-311d-4623-8c81-e111139b239e" xmlns:ns3="77f2ea15-2457-45ae-b05a-69f932904f88" xmlns:ns4="6ffc27c9-43cd-4736-a5d6-c0484359aef4" xmlns:ns5="4ff9b732-390f-4a78-b6b9-d58c022c2965" targetNamespace="http://schemas.microsoft.com/office/2006/metadata/properties" ma:root="true" ma:fieldsID="50398f7b8cf3ce71045191bac21c6380" ns1:_="" ns2:_="" ns3:_="" ns4:_="" ns5:_="">
    <xsd:import namespace="http://schemas.microsoft.com/sharepoint/v3"/>
    <xsd:import namespace="66704092-311d-4623-8c81-e111139b239e"/>
    <xsd:import namespace="77f2ea15-2457-45ae-b05a-69f932904f88"/>
    <xsd:import namespace="6ffc27c9-43cd-4736-a5d6-c0484359aef4"/>
    <xsd:import namespace="4ff9b732-390f-4a78-b6b9-d58c022c2965"/>
    <xsd:element name="properties">
      <xsd:complexType>
        <xsd:sequence>
          <xsd:element name="documentManagement">
            <xsd:complexType>
              <xsd:all>
                <xsd:element ref="ns2:DataClassification" minOccurs="0"/>
                <xsd:element ref="ns2:Narrative" minOccurs="0"/>
                <xsd:element ref="ns2:CategoryName" minOccurs="0"/>
                <xsd:element ref="ns3:_dlc_DocIdUrl" minOccurs="0"/>
                <xsd:element ref="ns4:AggregationStatus" minOccurs="0"/>
                <xsd:element ref="ns2:DocumentType" minOccurs="0"/>
                <xsd:element ref="ns4:AggregationNarrative" minOccurs="0"/>
                <xsd:element ref="ns4:PRADateDisposal" minOccurs="0"/>
                <xsd:element ref="ns4:PRAText1" minOccurs="0"/>
                <xsd:element ref="ns4:PRAText2" minOccurs="0"/>
                <xsd:element ref="ns4:PRAText3" minOccurs="0"/>
                <xsd:element ref="ns4:PRAText4" minOccurs="0"/>
                <xsd:element ref="ns4:PRAText5" minOccurs="0"/>
                <xsd:element ref="ns4:PRAType" minOccurs="0"/>
                <xsd:element ref="ns2:Project" minOccurs="0"/>
                <xsd:element ref="ns2:CategoryValue" minOccurs="0"/>
                <xsd:element ref="ns2:Function" minOccurs="0"/>
                <xsd:element ref="ns2:Activity" minOccurs="0"/>
                <xsd:element ref="ns2:Subactivity" minOccurs="0"/>
                <xsd:element ref="ns2:Case" minOccurs="0"/>
                <xsd:element ref="ns4:Year" minOccurs="0"/>
                <xsd:element ref="ns3:_dlc_DocId" minOccurs="0"/>
                <xsd:element ref="ns3:_dlc_DocIdPersistId" minOccurs="0"/>
                <xsd:element ref="ns5:MediaServiceMetadata" minOccurs="0"/>
                <xsd:element ref="ns5:MediaServiceFastMetadata" minOccurs="0"/>
                <xsd:element ref="ns5:MediaServiceAutoKeyPoints" minOccurs="0"/>
                <xsd:element ref="ns5:MediaServiceKeyPoints" minOccurs="0"/>
                <xsd:element ref="ns1:_ip_UnifiedCompliancePolicyProperties" minOccurs="0"/>
                <xsd:element ref="ns1:_ip_UnifiedCompliancePolicyUIAction" minOccurs="0"/>
                <xsd:element ref="ns3:SharedWithUsers" minOccurs="0"/>
                <xsd:element ref="ns3:SharedWithDetails" minOccurs="0"/>
                <xsd:element ref="ns5:MediaServiceObjectDetectorVersions" minOccurs="0"/>
                <xsd:element ref="ns5:MediaServiceSearchProperties" minOccurs="0"/>
                <xsd:element ref="ns5:MediaServiceGenerationTime" minOccurs="0"/>
                <xsd:element ref="ns5:MediaServiceEventHashCode" minOccurs="0"/>
                <xsd:element ref="ns5:MediaLengthInSeconds" minOccurs="0"/>
                <xsd:element ref="ns5:MediaServiceDateTaken" minOccurs="0"/>
                <xsd:element ref="ns5:lcf76f155ced4ddcb4097134ff3c332f" minOccurs="0"/>
                <xsd:element ref="ns3:TaxCatchAll"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ma:readOnly="false">
      <xsd:simpleType>
        <xsd:restriction base="dms:Note"/>
      </xsd:simpleType>
    </xsd:element>
    <xsd:element name="_ip_UnifiedCompliancePolicyUIAction" ma:index="36"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704092-311d-4623-8c81-e111139b239e" elementFormDefault="qualified">
    <xsd:import namespace="http://schemas.microsoft.com/office/2006/documentManagement/types"/>
    <xsd:import namespace="http://schemas.microsoft.com/office/infopath/2007/PartnerControls"/>
    <xsd:element name="DataClassification" ma:index="2" nillable="true" ma:displayName="Data Classification" ma:default="EQC USE ONLY – IN-CONFIDENCE" ma:format="Dropdown" ma:internalName="DataClassification">
      <xsd:simpleType>
        <xsd:restriction base="dms:Choice">
          <xsd:enumeration value="EQC USE ONLY – IN-CONFIDENCE"/>
          <xsd:enumeration value="UNCLASSIFIED"/>
          <xsd:enumeration value="IN CONFIDENCE - STAFF"/>
        </xsd:restriction>
      </xsd:simpleType>
    </xsd:element>
    <xsd:element name="Narrative" ma:index="3" nillable="true" ma:displayName="Narrative" ma:description="Description of document that may help find it later or to understand context better" ma:internalName="Narrative" ma:readOnly="false">
      <xsd:simpleType>
        <xsd:restriction base="dms:Note">
          <xsd:maxLength value="255"/>
        </xsd:restriction>
      </xsd:simpleType>
    </xsd:element>
    <xsd:element name="CategoryName" ma:index="4" nillable="true" ma:displayName="Category Name" ma:format="Dropdown" ma:internalName="CategoryName" ma:readOnly="false">
      <xsd:simpleType>
        <xsd:union memberTypes="dms:Text">
          <xsd:simpleType>
            <xsd:restriction base="dms:Choice">
              <xsd:enumeration value="Agenda"/>
              <xsd:enumeration value="Draft Papers"/>
              <xsd:enumeration value="Final papers"/>
              <xsd:enumeration value="Minutes"/>
            </xsd:restriction>
          </xsd:simpleType>
        </xsd:union>
      </xsd:simpleType>
    </xsd:element>
    <xsd:element name="DocumentType" ma:index="7" nillable="true" ma:displayName="Document Type" ma:format="Dropdown" ma:internalName="DocumentType" ma:readOnly="false">
      <xsd:simpleType>
        <xsd:restriction base="dms:Choice">
          <xsd:enumeration value="APPLICATION, Permit, Infrastructure related"/>
          <xsd:enumeration value="CALCULATION, Workings"/>
          <xsd:enumeration value="CERTIFICATE, Award, Recognition"/>
          <xsd:enumeration value="CHECKLIST or Register, Matrix, Records Control"/>
          <xsd:enumeration value="COMMUNICATION, Correspondence, Publication"/>
          <xsd:enumeration value="CONTRACT, Variation, Agreement"/>
          <xsd:enumeration value="DESIGN or Architecture"/>
          <xsd:enumeration value="DRAWING, Map, Flowchart, Plan, Charter"/>
          <xsd:enumeration value="EMPLOYMENT or Personnel related"/>
          <xsd:enumeration value="FINANCIAL related"/>
          <xsd:enumeration value="FORM or Template"/>
          <xsd:enumeration value="GOVERNANCE, Rules and Regulations, Environment"/>
          <xsd:enumeration value="IMAGE, Video, Multimedia, Screenshot"/>
          <xsd:enumeration value="MINUTES, Agenda, Notes, Memo, Filenote"/>
          <xsd:enumeration value="POLICY or Procedure, Process, SOP"/>
          <xsd:enumeration value="PRESENTATION, Speech"/>
          <xsd:enumeration value="PROCUREMENT related"/>
          <xsd:enumeration value="PROJECT related"/>
          <xsd:enumeration value="REFERENCE, Supporting Documentation"/>
          <xsd:enumeration value="SERVICE REQUEST, Change Management"/>
          <xsd:enumeration value="SPECIFICATION, Standard"/>
          <xsd:enumeration value="TRAINING, Operating or System Manual"/>
          <xsd:enumeration value="WORKSHEET, Roster"/>
          <xsd:enumeration value="Not yet defined"/>
        </xsd:restriction>
      </xsd:simpleType>
    </xsd:element>
    <xsd:element name="Project" ma:index="19" nillable="true" ma:displayName="Project" ma:default="NA" ma:hidden="true" ma:internalName="Project" ma:readOnly="false">
      <xsd:simpleType>
        <xsd:restriction base="dms:Text">
          <xsd:maxLength value="255"/>
        </xsd:restriction>
      </xsd:simpleType>
    </xsd:element>
    <xsd:element name="CategoryValue" ma:index="21" nillable="true" ma:displayName="Category Value" ma:default="NA" ma:hidden="true" ma:internalName="CategoryValue" ma:readOnly="false">
      <xsd:simpleType>
        <xsd:restriction base="dms:Text">
          <xsd:maxLength value="255"/>
        </xsd:restriction>
      </xsd:simpleType>
    </xsd:element>
    <xsd:element name="Function" ma:index="23" nillable="true" ma:displayName="Function" ma:default="Governance" ma:hidden="true" ma:internalName="Function" ma:readOnly="false">
      <xsd:simpleType>
        <xsd:restriction base="dms:Text">
          <xsd:maxLength value="255"/>
        </xsd:restriction>
      </xsd:simpleType>
    </xsd:element>
    <xsd:element name="Activity" ma:index="24" nillable="true" ma:displayName="Activity" ma:default="EQC Board" ma:hidden="true" ma:internalName="Activity" ma:readOnly="false">
      <xsd:simpleType>
        <xsd:restriction base="dms:Text">
          <xsd:maxLength value="255"/>
        </xsd:restriction>
      </xsd:simpleType>
    </xsd:element>
    <xsd:element name="Subactivity" ma:index="25" nillable="true" ma:displayName="Subactivity" ma:default="Board Meetings" ma:hidden="true" ma:internalName="Subactivity" ma:readOnly="false">
      <xsd:simpleType>
        <xsd:restriction base="dms:Text">
          <xsd:maxLength value="255"/>
        </xsd:restriction>
      </xsd:simpleType>
    </xsd:element>
    <xsd:element name="Case" ma:index="26" nillable="true" ma:displayName="Meeting" ma:default="NA"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f2ea15-2457-45ae-b05a-69f932904f88" elementFormDefault="qualified">
    <xsd:import namespace="http://schemas.microsoft.com/office/2006/documentManagement/types"/>
    <xsd:import namespace="http://schemas.microsoft.com/office/infopath/2007/PartnerControls"/>
    <xsd:element name="_dlc_DocIdUrl" ma:index="5"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8" nillable="true" ma:displayName="Document ID Value" ma:description="The value of the document ID assigned to this item." ma:hidden="true" ma:internalName="_dlc_DocId" ma:readOnly="false">
      <xsd:simpleType>
        <xsd:restriction base="dms:Text"/>
      </xsd:simpleType>
    </xsd:element>
    <xsd:element name="_dlc_DocIdPersistId" ma:index="30" nillable="true" ma:displayName="Persist ID" ma:description="Keep ID on add." ma:hidden="true" ma:internalName="_dlc_DocIdPersistId" ma:readOnly="false">
      <xsd:simpleType>
        <xsd:restriction base="dms:Boolean"/>
      </xsd:simpleType>
    </xsd:element>
    <xsd:element name="SharedWithUsers" ma:index="3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hidden="true" ma:internalName="SharedWithDetails" ma:readOnly="true">
      <xsd:simpleType>
        <xsd:restriction base="dms:Note"/>
      </xsd:simpleType>
    </xsd:element>
    <xsd:element name="TaxCatchAll" ma:index="47" nillable="true" ma:displayName="Taxonomy Catch All Column" ma:hidden="true" ma:list="{d1871bed-a4c8-4a7e-b9f3-57ae5150a2a3}" ma:internalName="TaxCatchAll" ma:showField="CatchAllData" ma:web="77f2ea15-2457-45ae-b05a-69f932904f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fc27c9-43cd-4736-a5d6-c0484359aef4" elementFormDefault="qualified">
    <xsd:import namespace="http://schemas.microsoft.com/office/2006/documentManagement/types"/>
    <xsd:import namespace="http://schemas.microsoft.com/office/infopath/2007/PartnerControls"/>
    <xsd:element name="AggregationStatus" ma:index="6" nillable="true" ma:displayName="Aggregation Status" ma:default="Normal" ma:format="Dropdown"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AggregationNarrative" ma:index="10" nillable="true" ma:displayName="Aggregation Narrative" ma:hidden="true" ma:internalName="AggregationNarrative" ma:readOnly="false">
      <xsd:simpleType>
        <xsd:restriction base="dms:Text">
          <xsd:maxLength value="255"/>
        </xsd:restriction>
      </xsd:simpleType>
    </xsd:element>
    <xsd:element name="PRADateDisposal" ma:index="12" nillable="true" ma:displayName="PRA Date Disposal" ma:format="DateOnly" ma:hidden="true" ma:internalName="PRADateDisposal" ma:readOnly="false">
      <xsd:simpleType>
        <xsd:restriction base="dms:DateTime"/>
      </xsd:simpleType>
    </xsd:element>
    <xsd:element name="PRAText1" ma:index="13" nillable="true" ma:displayName="PRA Text 1" ma:hidden="true" ma:internalName="PRAText1" ma:readOnly="false">
      <xsd:simpleType>
        <xsd:restriction base="dms:Text">
          <xsd:maxLength value="255"/>
        </xsd:restriction>
      </xsd:simpleType>
    </xsd:element>
    <xsd:element name="PRAText2" ma:index="14" nillable="true" ma:displayName="PRA Text 2" ma:hidden="true" ma:internalName="PRAText2" ma:readOnly="false">
      <xsd:simpleType>
        <xsd:restriction base="dms:Text">
          <xsd:maxLength value="255"/>
        </xsd:restriction>
      </xsd:simpleType>
    </xsd:element>
    <xsd:element name="PRAText3" ma:index="15" nillable="true" ma:displayName="PRA Text 3" ma:hidden="true" ma:internalName="PRAText3" ma:readOnly="false">
      <xsd:simpleType>
        <xsd:restriction base="dms:Text">
          <xsd:maxLength value="255"/>
        </xsd:restriction>
      </xsd:simpleType>
    </xsd:element>
    <xsd:element name="PRAText4" ma:index="16" nillable="true" ma:displayName="PRA Text 4" ma:hidden="true" ma:internalName="PRAText4" ma:readOnly="false">
      <xsd:simpleType>
        <xsd:restriction base="dms:Text">
          <xsd:maxLength value="255"/>
        </xsd:restriction>
      </xsd:simpleType>
    </xsd:element>
    <xsd:element name="PRAText5" ma:index="17" nillable="true" ma:displayName="PRA Text 5" ma:hidden="true" ma:internalName="PRAText5" ma:readOnly="false">
      <xsd:simpleType>
        <xsd:restriction base="dms:Text">
          <xsd:maxLength value="255"/>
        </xsd:restriction>
      </xsd:simpleType>
    </xsd:element>
    <xsd:element name="PRAType" ma:index="18" nillable="true" ma:displayName="PRA Type" ma:hidden="true" ma:internalName="PRAType" ma:readOnly="false">
      <xsd:simpleType>
        <xsd:restriction base="dms:Text">
          <xsd:maxLength value="255"/>
        </xsd:restriction>
      </xsd:simpleType>
    </xsd:element>
    <xsd:element name="Year" ma:index="27"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f9b732-390f-4a78-b6b9-d58c022c2965"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hidden="true" ma:internalName="MediaServiceKeyPoints" ma:readOnly="true">
      <xsd:simpleType>
        <xsd:restriction base="dms:Note"/>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GenerationTime" ma:index="41" nillable="true" ma:displayName="MediaServiceGenerationTime" ma:hidden="true" ma:internalName="MediaServiceGenerationTime" ma:readOnly="true">
      <xsd:simpleType>
        <xsd:restriction base="dms:Text"/>
      </xsd:simpleType>
    </xsd:element>
    <xsd:element name="MediaServiceEventHashCode" ma:index="42" nillable="true" ma:displayName="MediaServiceEventHashCode" ma:hidden="true" ma:internalName="MediaServiceEventHashCode" ma:readOnly="true">
      <xsd:simpleType>
        <xsd:restriction base="dms:Text"/>
      </xsd:simpleType>
    </xsd:element>
    <xsd:element name="MediaLengthInSeconds" ma:index="43" nillable="true" ma:displayName="MediaLengthInSeconds" ma:hidden="true" ma:internalName="MediaLengthInSeconds" ma:readOnly="true">
      <xsd:simpleType>
        <xsd:restriction base="dms:Unknown"/>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889c2461-6b35-484a-98e2-0db039f2643a" ma:termSetId="09814cd3-568e-fe90-9814-8d621ff8fb84" ma:anchorId="fba54fb3-c3e1-fe81-a776-ca4b69148c4d" ma:open="true" ma:isKeyword="false">
      <xsd:complexType>
        <xsd:sequence>
          <xsd:element ref="pc:Terms" minOccurs="0" maxOccurs="1"/>
        </xsd:sequence>
      </xsd:complexType>
    </xsd:element>
    <xsd:element name="MediaServiceLocation" ma:index="4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18B66A-374A-4887-BB74-C70E880471A7}">
  <ds:schemaRefs>
    <ds:schemaRef ds:uri="http://schemas.openxmlformats.org/officeDocument/2006/bibliography"/>
  </ds:schemaRefs>
</ds:datastoreItem>
</file>

<file path=customXml/itemProps3.xml><?xml version="1.0" encoding="utf-8"?>
<ds:datastoreItem xmlns:ds="http://schemas.openxmlformats.org/officeDocument/2006/customXml" ds:itemID="{5DF998B2-8D80-40C4-85FE-E08823707AE4}">
  <ds:schemaRefs>
    <ds:schemaRef ds:uri="http://schemas.microsoft.com/sharepoint/v3/contenttype/forms"/>
  </ds:schemaRefs>
</ds:datastoreItem>
</file>

<file path=customXml/itemProps4.xml><?xml version="1.0" encoding="utf-8"?>
<ds:datastoreItem xmlns:ds="http://schemas.openxmlformats.org/officeDocument/2006/customXml" ds:itemID="{E7CBF967-10A5-4C83-92D5-5113DE1AEDA1}">
  <ds:schemaRefs>
    <ds:schemaRef ds:uri="http://schemas.microsoft.com/office/2006/metadata/properties"/>
    <ds:schemaRef ds:uri="http://schemas.microsoft.com/office/infopath/2007/PartnerControls"/>
    <ds:schemaRef ds:uri="77f2ea15-2457-45ae-b05a-69f932904f88"/>
    <ds:schemaRef ds:uri="6ffc27c9-43cd-4736-a5d6-c0484359aef4"/>
    <ds:schemaRef ds:uri="http://schemas.microsoft.com/sharepoint/v3"/>
    <ds:schemaRef ds:uri="66704092-311d-4623-8c81-e111139b239e"/>
    <ds:schemaRef ds:uri="4ff9b732-390f-4a78-b6b9-d58c022c2965"/>
  </ds:schemaRefs>
</ds:datastoreItem>
</file>

<file path=customXml/itemProps5.xml><?xml version="1.0" encoding="utf-8"?>
<ds:datastoreItem xmlns:ds="http://schemas.openxmlformats.org/officeDocument/2006/customXml" ds:itemID="{7E1CAF3D-42BD-44CB-B0BA-BFF4961C713A}">
  <ds:schemaRefs>
    <ds:schemaRef ds:uri="http://schemas.microsoft.com/sharepoint/events"/>
  </ds:schemaRefs>
</ds:datastoreItem>
</file>

<file path=customXml/itemProps6.xml><?xml version="1.0" encoding="utf-8"?>
<ds:datastoreItem xmlns:ds="http://schemas.openxmlformats.org/officeDocument/2006/customXml" ds:itemID="{63A5FF88-DDB2-477E-A35C-6CD6B367B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704092-311d-4623-8c81-e111139b239e"/>
    <ds:schemaRef ds:uri="77f2ea15-2457-45ae-b05a-69f932904f88"/>
    <ds:schemaRef ds:uri="6ffc27c9-43cd-4736-a5d6-c0484359aef4"/>
    <ds:schemaRef ds:uri="4ff9b732-390f-4a78-b6b9-d58c022c2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NHC.Report-2025</Template>
  <TotalTime>130</TotalTime>
  <Pages>18</Pages>
  <Words>4514</Words>
  <Characters>24467</Characters>
  <Application>Microsoft Office Word</Application>
  <DocSecurity>0</DocSecurity>
  <Lines>479</Lines>
  <Paragraphs>249</Paragraphs>
  <ScaleCrop>false</ScaleCrop>
  <Company/>
  <LinksUpToDate>false</LinksUpToDate>
  <CharactersWithSpaces>28732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Roderick</dc:creator>
  <cp:keywords/>
  <dc:description/>
  <cp:lastModifiedBy>Gareth Roderick</cp:lastModifiedBy>
  <cp:revision>13</cp:revision>
  <cp:lastPrinted>2026-01-28T17:04:00Z</cp:lastPrinted>
  <dcterms:created xsi:type="dcterms:W3CDTF">2026-08-05T20:42:00Z</dcterms:created>
  <dcterms:modified xsi:type="dcterms:W3CDTF">2026-09-15T21:19:00Z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3,d,6364ac48,2bf103fe,1815eae9,3281d733,1e254e36</vt:lpwstr>
  </property>
  <property fmtid="{D5CDD505-2E9C-101B-9397-08002B2CF9AE}" pid="3" name="ClassificationContentMarkingFooterFontProps">
    <vt:lpwstr>#000000,10,Calibri</vt:lpwstr>
  </property>
  <property fmtid="{D5CDD505-2E9C-101B-9397-08002B2CF9AE}" pid="4" name="ClassificationContentMarkingFooterText">
    <vt:lpwstr>IN CONFIDENCE-COMMERCIAL</vt:lpwstr>
  </property>
  <property fmtid="{D5CDD505-2E9C-101B-9397-08002B2CF9AE}" pid="5" name="MediaServiceImageTags">
    <vt:lpwstr/>
  </property>
  <property fmtid="{D5CDD505-2E9C-101B-9397-08002B2CF9AE}" pid="6" name="MSIP_Label_b1b44c6a-0027-4cdf-a7a7-8f7552096157_Enabled">
    <vt:lpwstr>true</vt:lpwstr>
  </property>
  <property fmtid="{D5CDD505-2E9C-101B-9397-08002B2CF9AE}" pid="7" name="MSIP_Label_b1b44c6a-0027-4cdf-a7a7-8f7552096157_SetDate">
    <vt:lpwstr>2025-05-28T03:32:24Z</vt:lpwstr>
  </property>
  <property fmtid="{D5CDD505-2E9C-101B-9397-08002B2CF9AE}" pid="8" name="MSIP_Label_b1b44c6a-0027-4cdf-a7a7-8f7552096157_Method">
    <vt:lpwstr>Privileged</vt:lpwstr>
  </property>
  <property fmtid="{D5CDD505-2E9C-101B-9397-08002B2CF9AE}" pid="9" name="MSIP_Label_b1b44c6a-0027-4cdf-a7a7-8f7552096157_Name">
    <vt:lpwstr>IN CONFIDENCE-COMMERCIAL</vt:lpwstr>
  </property>
  <property fmtid="{D5CDD505-2E9C-101B-9397-08002B2CF9AE}" pid="10" name="MSIP_Label_b1b44c6a-0027-4cdf-a7a7-8f7552096157_SiteId">
    <vt:lpwstr>86a6f104-40bb-42f9-80b8-db92c7ff68b2</vt:lpwstr>
  </property>
  <property fmtid="{D5CDD505-2E9C-101B-9397-08002B2CF9AE}" pid="11" name="MSIP_Label_b1b44c6a-0027-4cdf-a7a7-8f7552096157_ActionId">
    <vt:lpwstr>1db1ccf2-3a57-4f14-bb00-613caf23cce8</vt:lpwstr>
  </property>
  <property fmtid="{D5CDD505-2E9C-101B-9397-08002B2CF9AE}" pid="12" name="MSIP_Label_b1b44c6a-0027-4cdf-a7a7-8f7552096157_ContentBits">
    <vt:lpwstr>2</vt:lpwstr>
  </property>
  <property fmtid="{D5CDD505-2E9C-101B-9397-08002B2CF9AE}" pid="13" name="MSIP_Label_b1b44c6a-0027-4cdf-a7a7-8f7552096157_Tag">
    <vt:lpwstr>10, 0, 1, 1</vt:lpwstr>
  </property>
  <property fmtid="{D5CDD505-2E9C-101B-9397-08002B2CF9AE}" pid="14" name="Order">
    <vt:r8>63500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Project">
    <vt:lpwstr>NA</vt:lpwstr>
  </property>
  <property fmtid="{D5CDD505-2E9C-101B-9397-08002B2CF9AE}" pid="22" name="Subactivity">
    <vt:lpwstr>Board Meetings</vt:lpwstr>
  </property>
  <property fmtid="{D5CDD505-2E9C-101B-9397-08002B2CF9AE}" pid="23" name="Year">
    <vt:lpwstr>NA</vt:lpwstr>
  </property>
  <property fmtid="{D5CDD505-2E9C-101B-9397-08002B2CF9AE}" pid="24" name="Activity">
    <vt:lpwstr>EQC Board</vt:lpwstr>
  </property>
  <property fmtid="{D5CDD505-2E9C-101B-9397-08002B2CF9AE}" pid="25" name="Function">
    <vt:lpwstr>Governance</vt:lpwstr>
  </property>
  <property fmtid="{D5CDD505-2E9C-101B-9397-08002B2CF9AE}" pid="26" name="AggregationStatus">
    <vt:lpwstr>Normal</vt:lpwstr>
  </property>
  <property fmtid="{D5CDD505-2E9C-101B-9397-08002B2CF9AE}" pid="27" name="Case">
    <vt:lpwstr>NA</vt:lpwstr>
  </property>
  <property fmtid="{D5CDD505-2E9C-101B-9397-08002B2CF9AE}" pid="28" name="DataClassification">
    <vt:lpwstr>EQC USE ONLY – IN-CONFIDENCE</vt:lpwstr>
  </property>
  <property fmtid="{D5CDD505-2E9C-101B-9397-08002B2CF9AE}" pid="29" name="CategoryValue">
    <vt:lpwstr>NA</vt:lpwstr>
  </property>
  <property fmtid="{D5CDD505-2E9C-101B-9397-08002B2CF9AE}" pid="30" name="docLang">
    <vt:lpwstr>en</vt:lpwstr>
  </property>
  <property fmtid="{D5CDD505-2E9C-101B-9397-08002B2CF9AE}" pid="31" name="ContentTypeId">
    <vt:lpwstr>0x010100E490254A92272C46BFA8F484B950E88700AA2E5DA1A327774A9BFD1D557AAC5127</vt:lpwstr>
  </property>
  <property fmtid="{D5CDD505-2E9C-101B-9397-08002B2CF9AE}" pid="32" name="_dlc_DocIdItemGuid">
    <vt:lpwstr>f1b04f30-3d97-4814-b422-00a83653e7a2</vt:lpwstr>
  </property>
</Properties>
</file>